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0DCF5" w14:textId="77777777" w:rsidR="00443D2A" w:rsidRPr="00443D2A" w:rsidRDefault="31C40BC7" w:rsidP="31C40BC7">
      <w:pPr>
        <w:widowControl w:val="0"/>
        <w:autoSpaceDE w:val="0"/>
        <w:autoSpaceDN w:val="0"/>
        <w:adjustRightInd w:val="0"/>
        <w:jc w:val="center"/>
        <w:rPr>
          <w:rFonts w:ascii="Arial" w:eastAsia="Arial" w:hAnsi="Arial" w:cs="Arial"/>
          <w:b/>
          <w:bCs/>
          <w:sz w:val="22"/>
          <w:szCs w:val="22"/>
        </w:rPr>
      </w:pPr>
      <w:r w:rsidRPr="31C40BC7">
        <w:rPr>
          <w:rFonts w:ascii="Arial" w:eastAsia="Arial" w:hAnsi="Arial" w:cs="Arial"/>
          <w:b/>
          <w:bCs/>
          <w:sz w:val="22"/>
          <w:szCs w:val="22"/>
        </w:rPr>
        <w:t>LET’S TALK ABOUT SEX: A REVIEW OF SEXUALITY RELATED ARTICLES IN THE JOURNAL OF APPLIED BEHAVIOUR ANALYSIS</w:t>
      </w:r>
    </w:p>
    <w:p w14:paraId="75F99B90" w14:textId="77777777" w:rsidR="00C75824" w:rsidRPr="00C75824" w:rsidRDefault="00C75824" w:rsidP="00C75824">
      <w:pPr>
        <w:widowControl w:val="0"/>
        <w:autoSpaceDE w:val="0"/>
        <w:autoSpaceDN w:val="0"/>
        <w:adjustRightInd w:val="0"/>
        <w:rPr>
          <w:rFonts w:ascii="Arial" w:hAnsi="Arial" w:cs="Arial"/>
          <w:sz w:val="22"/>
          <w:szCs w:val="22"/>
        </w:rPr>
      </w:pPr>
    </w:p>
    <w:p w14:paraId="03D1C71F" w14:textId="77777777" w:rsidR="00C75824" w:rsidRPr="00443D2A" w:rsidRDefault="31C40BC7" w:rsidP="31C40BC7">
      <w:pPr>
        <w:rPr>
          <w:rFonts w:ascii="Arial" w:eastAsia="Arial" w:hAnsi="Arial" w:cs="Arial"/>
          <w:b/>
          <w:bCs/>
          <w:sz w:val="22"/>
          <w:szCs w:val="22"/>
        </w:rPr>
      </w:pPr>
      <w:r w:rsidRPr="31C40BC7">
        <w:rPr>
          <w:rFonts w:ascii="Arial" w:eastAsia="Arial" w:hAnsi="Arial" w:cs="Arial"/>
          <w:b/>
          <w:bCs/>
          <w:sz w:val="22"/>
          <w:szCs w:val="22"/>
        </w:rPr>
        <w:t xml:space="preserve">Lauren Martell, Rebecca Hansford, Kaitlyn Young, and Rosemary </w:t>
      </w:r>
      <w:proofErr w:type="spellStart"/>
      <w:r w:rsidRPr="31C40BC7">
        <w:rPr>
          <w:rFonts w:ascii="Arial" w:eastAsia="Arial" w:hAnsi="Arial" w:cs="Arial"/>
          <w:b/>
          <w:bCs/>
          <w:sz w:val="22"/>
          <w:szCs w:val="22"/>
        </w:rPr>
        <w:t>Condillac</w:t>
      </w:r>
      <w:proofErr w:type="spellEnd"/>
      <w:r w:rsidRPr="31C40BC7">
        <w:rPr>
          <w:rFonts w:ascii="Arial" w:eastAsia="Arial" w:hAnsi="Arial" w:cs="Arial"/>
          <w:b/>
          <w:bCs/>
          <w:sz w:val="22"/>
          <w:szCs w:val="22"/>
        </w:rPr>
        <w:t xml:space="preserve">, Centre for Applied Disability Studies, Brock University. </w:t>
      </w:r>
    </w:p>
    <w:p w14:paraId="21D0A1A4" w14:textId="77777777" w:rsidR="00195F2A" w:rsidRDefault="00195F2A" w:rsidP="00C75824">
      <w:pPr>
        <w:widowControl w:val="0"/>
        <w:autoSpaceDE w:val="0"/>
        <w:autoSpaceDN w:val="0"/>
        <w:adjustRightInd w:val="0"/>
        <w:rPr>
          <w:rFonts w:ascii="Arial" w:hAnsi="Arial" w:cs="Arial"/>
          <w:sz w:val="22"/>
          <w:szCs w:val="22"/>
        </w:rPr>
      </w:pPr>
    </w:p>
    <w:p w14:paraId="5BD5DEF4" w14:textId="6D31D555" w:rsidR="005E1F35" w:rsidRPr="009F3601" w:rsidRDefault="31C40BC7" w:rsidP="31C40BC7">
      <w:pPr>
        <w:widowControl w:val="0"/>
        <w:tabs>
          <w:tab w:val="left" w:pos="2694"/>
        </w:tabs>
        <w:autoSpaceDE w:val="0"/>
        <w:autoSpaceDN w:val="0"/>
        <w:adjustRightInd w:val="0"/>
        <w:rPr>
          <w:rFonts w:ascii="Arial" w:eastAsia="Arial" w:hAnsi="Arial" w:cs="Arial"/>
          <w:b/>
          <w:bCs/>
          <w:sz w:val="22"/>
          <w:szCs w:val="22"/>
        </w:rPr>
      </w:pPr>
      <w:r w:rsidRPr="31C40BC7">
        <w:rPr>
          <w:rFonts w:ascii="Arial" w:eastAsia="Arial" w:hAnsi="Arial" w:cs="Arial"/>
          <w:b/>
          <w:bCs/>
          <w:sz w:val="22"/>
          <w:szCs w:val="22"/>
        </w:rPr>
        <w:t xml:space="preserve">Objectives: </w:t>
      </w:r>
      <w:r w:rsidRPr="31C40BC7">
        <w:rPr>
          <w:rFonts w:ascii="Arial" w:eastAsia="Arial" w:hAnsi="Arial" w:cs="Arial"/>
          <w:sz w:val="22"/>
          <w:szCs w:val="22"/>
        </w:rPr>
        <w:t xml:space="preserve">Since the 1960s, there has been a significant shift in the focus of research in </w:t>
      </w:r>
      <w:proofErr w:type="spellStart"/>
      <w:r w:rsidRPr="31C40BC7">
        <w:rPr>
          <w:rFonts w:ascii="Arial" w:eastAsia="Arial" w:hAnsi="Arial" w:cs="Arial"/>
          <w:sz w:val="22"/>
          <w:szCs w:val="22"/>
        </w:rPr>
        <w:t>behaviour</w:t>
      </w:r>
      <w:proofErr w:type="spellEnd"/>
      <w:r w:rsidRPr="31C40BC7">
        <w:rPr>
          <w:rFonts w:ascii="Arial" w:eastAsia="Arial" w:hAnsi="Arial" w:cs="Arial"/>
          <w:sz w:val="22"/>
          <w:szCs w:val="22"/>
        </w:rPr>
        <w:t xml:space="preserve"> analysis and sexuality. This systematic review sought to identify trends in articles related to sexual issues in the Journal of Applied Behavior Analysis (JABA) from the first issue in 1968 to present. The focus of the review was to identify articles with research focusing on sexual issues, analyze the topics of sexuality related research within each decade, and assess how these topics relate to significant societal events at the time. </w:t>
      </w:r>
    </w:p>
    <w:p w14:paraId="36D71055" w14:textId="77777777" w:rsidR="00C75824" w:rsidRDefault="00C75824" w:rsidP="00C75824">
      <w:pPr>
        <w:widowControl w:val="0"/>
        <w:autoSpaceDE w:val="0"/>
        <w:autoSpaceDN w:val="0"/>
        <w:adjustRightInd w:val="0"/>
        <w:rPr>
          <w:rFonts w:ascii="Arial" w:hAnsi="Arial" w:cs="Arial"/>
          <w:sz w:val="22"/>
          <w:szCs w:val="22"/>
        </w:rPr>
      </w:pPr>
    </w:p>
    <w:p w14:paraId="400905AC" w14:textId="157A9408" w:rsidR="00EC54BE" w:rsidRPr="00FE7EBC" w:rsidRDefault="31C40BC7" w:rsidP="31C40BC7">
      <w:pPr>
        <w:widowControl w:val="0"/>
        <w:autoSpaceDE w:val="0"/>
        <w:autoSpaceDN w:val="0"/>
        <w:adjustRightInd w:val="0"/>
        <w:rPr>
          <w:rFonts w:ascii="Arial" w:eastAsia="Arial" w:hAnsi="Arial" w:cs="Arial"/>
          <w:sz w:val="22"/>
          <w:szCs w:val="22"/>
          <w:lang w:val="en-CA"/>
        </w:rPr>
      </w:pPr>
      <w:r w:rsidRPr="31C40BC7">
        <w:rPr>
          <w:rFonts w:ascii="Arial" w:eastAsia="Arial" w:hAnsi="Arial" w:cs="Arial"/>
          <w:b/>
          <w:bCs/>
          <w:sz w:val="22"/>
          <w:szCs w:val="22"/>
        </w:rPr>
        <w:t xml:space="preserve">Method: </w:t>
      </w:r>
      <w:r w:rsidRPr="31C40BC7">
        <w:rPr>
          <w:rFonts w:ascii="Arial" w:eastAsia="Arial" w:hAnsi="Arial" w:cs="Arial"/>
          <w:sz w:val="22"/>
          <w:szCs w:val="22"/>
        </w:rPr>
        <w:t>A systematic review of JABA was completed through the Wiley Online Library database using a list of key words relating to sexual issues. The number of sexuality related articles was divided by the total articles published in JABA to obtain the proportion of articles targeting sexuality related issues from each decade. Furthermore, significant sexuality related societal events occurring within each decade were explored and compared to topics of sexuality research in JABA across the decades. The</w:t>
      </w:r>
      <w:r w:rsidRPr="31C40BC7">
        <w:rPr>
          <w:rFonts w:ascii="Arial" w:eastAsia="Arial" w:hAnsi="Arial" w:cs="Arial"/>
          <w:sz w:val="22"/>
          <w:szCs w:val="22"/>
          <w:lang w:val="en-CA"/>
        </w:rPr>
        <w:t xml:space="preserve"> effect size</w:t>
      </w:r>
      <w:r w:rsidRPr="31C40BC7">
        <w:rPr>
          <w:rFonts w:ascii="Arial" w:eastAsia="Arial" w:hAnsi="Arial" w:cs="Arial"/>
          <w:sz w:val="22"/>
          <w:szCs w:val="22"/>
        </w:rPr>
        <w:t xml:space="preserve"> of 164 individual interventions for sexuality related issues from 12 articles were calculated using the percentage of data points exceeding the median of baseline data (PEM) approach (Ma, 2006). </w:t>
      </w:r>
    </w:p>
    <w:p w14:paraId="352B7140" w14:textId="77777777" w:rsidR="00C75824" w:rsidRDefault="00C75824" w:rsidP="00C75824">
      <w:pPr>
        <w:widowControl w:val="0"/>
        <w:autoSpaceDE w:val="0"/>
        <w:autoSpaceDN w:val="0"/>
        <w:adjustRightInd w:val="0"/>
        <w:rPr>
          <w:rFonts w:ascii="Arial" w:hAnsi="Arial" w:cs="Arial"/>
          <w:sz w:val="22"/>
          <w:szCs w:val="22"/>
        </w:rPr>
      </w:pPr>
    </w:p>
    <w:p w14:paraId="5EA485F4" w14:textId="19F41801" w:rsidR="00E82360" w:rsidRPr="00FF2C2D" w:rsidRDefault="31C40BC7" w:rsidP="31C40BC7">
      <w:pPr>
        <w:widowControl w:val="0"/>
        <w:autoSpaceDE w:val="0"/>
        <w:autoSpaceDN w:val="0"/>
        <w:adjustRightInd w:val="0"/>
        <w:ind w:firstLine="360"/>
        <w:rPr>
          <w:rFonts w:ascii="Arial" w:eastAsia="Arial" w:hAnsi="Arial" w:cs="Arial"/>
          <w:sz w:val="22"/>
          <w:szCs w:val="22"/>
        </w:rPr>
      </w:pPr>
      <w:r w:rsidRPr="31C40BC7">
        <w:rPr>
          <w:rFonts w:ascii="Arial" w:eastAsia="Arial" w:hAnsi="Arial" w:cs="Arial"/>
          <w:b/>
          <w:bCs/>
          <w:sz w:val="22"/>
          <w:szCs w:val="22"/>
        </w:rPr>
        <w:t xml:space="preserve">Results: </w:t>
      </w:r>
      <w:r w:rsidRPr="31C40BC7">
        <w:rPr>
          <w:rFonts w:ascii="Arial" w:eastAsia="Arial" w:hAnsi="Arial" w:cs="Arial"/>
          <w:sz w:val="22"/>
          <w:szCs w:val="22"/>
        </w:rPr>
        <w:t>The review of JABA from 1968 to present identified 25 relevant articles (N = 25) relating to sex and sexuality, with the greatest number of articles published during the 1970s. This analysis found that the topics of sexuality related issues studied within each decade varied and many of the topics were consistent with significant societal events occurring at the time. For example, articles published in the early decades reported interventions for homosexuality and sex-role reconditioning whereas more recent articles focused on treatment for sexual offences and arousal assessments and less so on gender roles or sexual orientation. Results of the PEM analysis found that effect size varied largely within and across decades</w:t>
      </w:r>
      <w:r w:rsidRPr="31C40BC7">
        <w:rPr>
          <w:rFonts w:ascii="Arial" w:eastAsia="Arial" w:hAnsi="Arial" w:cs="Arial"/>
          <w:sz w:val="22"/>
          <w:szCs w:val="22"/>
          <w:lang w:val="en-CA"/>
        </w:rPr>
        <w:t xml:space="preserve"> and did not highlight evidence of any intervention effectiveness trends over time.</w:t>
      </w:r>
    </w:p>
    <w:p w14:paraId="68B3DC72" w14:textId="77777777" w:rsidR="00C75824" w:rsidRDefault="00C75824" w:rsidP="00C75824">
      <w:pPr>
        <w:widowControl w:val="0"/>
        <w:autoSpaceDE w:val="0"/>
        <w:autoSpaceDN w:val="0"/>
        <w:adjustRightInd w:val="0"/>
        <w:rPr>
          <w:rFonts w:ascii="Arial" w:hAnsi="Arial" w:cs="Arial"/>
          <w:sz w:val="22"/>
          <w:szCs w:val="22"/>
        </w:rPr>
      </w:pPr>
    </w:p>
    <w:p w14:paraId="04D1057A" w14:textId="08E25168" w:rsidR="002465B9" w:rsidRPr="00FF2C2D" w:rsidRDefault="31C40BC7" w:rsidP="31C40BC7">
      <w:pPr>
        <w:widowControl w:val="0"/>
        <w:autoSpaceDE w:val="0"/>
        <w:autoSpaceDN w:val="0"/>
        <w:adjustRightInd w:val="0"/>
        <w:rPr>
          <w:rFonts w:ascii="Arial" w:eastAsia="Arial" w:hAnsi="Arial" w:cs="Arial"/>
          <w:sz w:val="22"/>
          <w:szCs w:val="22"/>
          <w:lang w:val="en-CA"/>
        </w:rPr>
      </w:pPr>
      <w:r w:rsidRPr="31C40BC7">
        <w:rPr>
          <w:rFonts w:ascii="Arial" w:eastAsia="Arial" w:hAnsi="Arial" w:cs="Arial"/>
          <w:b/>
          <w:bCs/>
          <w:sz w:val="22"/>
          <w:szCs w:val="22"/>
        </w:rPr>
        <w:t>Discussion/Conclusions:</w:t>
      </w:r>
      <w:r w:rsidR="008E0C42">
        <w:rPr>
          <w:rFonts w:ascii="Arial" w:eastAsia="Arial" w:hAnsi="Arial" w:cs="Arial"/>
          <w:sz w:val="22"/>
          <w:szCs w:val="22"/>
          <w:lang w:val="en-CA"/>
        </w:rPr>
        <w:t xml:space="preserve"> </w:t>
      </w:r>
      <w:proofErr w:type="spellStart"/>
      <w:r w:rsidR="008E0C42">
        <w:rPr>
          <w:rFonts w:ascii="Arial" w:eastAsia="Arial" w:hAnsi="Arial" w:cs="Arial"/>
          <w:sz w:val="22"/>
          <w:szCs w:val="22"/>
          <w:lang w:val="en-CA"/>
        </w:rPr>
        <w:t>Dworkin</w:t>
      </w:r>
      <w:proofErr w:type="spellEnd"/>
      <w:r w:rsidR="008E0C42">
        <w:rPr>
          <w:rFonts w:ascii="Arial" w:eastAsia="Arial" w:hAnsi="Arial" w:cs="Arial"/>
          <w:sz w:val="22"/>
          <w:szCs w:val="22"/>
          <w:lang w:val="en-CA"/>
        </w:rPr>
        <w:t xml:space="preserve">, </w:t>
      </w:r>
      <w:proofErr w:type="spellStart"/>
      <w:r w:rsidR="008E0C42">
        <w:rPr>
          <w:rFonts w:ascii="Arial" w:eastAsia="Arial" w:hAnsi="Arial" w:cs="Arial"/>
          <w:sz w:val="22"/>
          <w:szCs w:val="22"/>
          <w:lang w:val="en-CA"/>
        </w:rPr>
        <w:t>Lerum</w:t>
      </w:r>
      <w:proofErr w:type="spellEnd"/>
      <w:r w:rsidR="008E0C42">
        <w:rPr>
          <w:rFonts w:ascii="Arial" w:eastAsia="Arial" w:hAnsi="Arial" w:cs="Arial"/>
          <w:sz w:val="22"/>
          <w:szCs w:val="22"/>
          <w:lang w:val="en-CA"/>
        </w:rPr>
        <w:t>, and</w:t>
      </w:r>
      <w:bookmarkStart w:id="0" w:name="_GoBack"/>
      <w:bookmarkEnd w:id="0"/>
      <w:r w:rsidRPr="31C40BC7">
        <w:rPr>
          <w:rFonts w:ascii="Arial" w:eastAsia="Arial" w:hAnsi="Arial" w:cs="Arial"/>
          <w:sz w:val="22"/>
          <w:szCs w:val="22"/>
          <w:lang w:val="en-CA"/>
        </w:rPr>
        <w:t xml:space="preserve"> </w:t>
      </w:r>
      <w:proofErr w:type="spellStart"/>
      <w:r w:rsidRPr="31C40BC7">
        <w:rPr>
          <w:rFonts w:ascii="Arial" w:eastAsia="Arial" w:hAnsi="Arial" w:cs="Arial"/>
          <w:sz w:val="22"/>
          <w:szCs w:val="22"/>
          <w:lang w:val="en-CA"/>
        </w:rPr>
        <w:t>Zakaras</w:t>
      </w:r>
      <w:proofErr w:type="spellEnd"/>
      <w:r w:rsidRPr="31C40BC7">
        <w:rPr>
          <w:rFonts w:ascii="Arial" w:eastAsia="Arial" w:hAnsi="Arial" w:cs="Arial"/>
          <w:sz w:val="22"/>
          <w:szCs w:val="22"/>
          <w:lang w:val="en-CA"/>
        </w:rPr>
        <w:t xml:space="preserve"> (2016) found that the 1960s and 1970s had some of the highest proportions of sexuality research in the Global South; sexual and reproductive health were the most prevalent topics at this time (Dworkin et al., 2016).  In contrast, although the highest proportions of sexuality related articles published in JABA occurred in the 1960s and 1970s, this period was characterized by a focus on sexual deviance, sexual response, and sex-role reconditioning. In the 1990s, the trends in sexuality related research shifted in JABA; topics such as sexual behaviour, HIV, and health related behaviours were dominant. Similarly, Dworkin et al. (2016) found that sexuality related research focused on sexual risk related themes in the 1990s. Overall, the limited number of articles relating to sexual health published in JABA highlight the need for more sexuality related research to be conducted in this field in order to fill gaps in knowledge on how to best intervene on sexually related issues for all populations, including individuals with disabilities. </w:t>
      </w:r>
    </w:p>
    <w:p w14:paraId="61CBD8B5" w14:textId="77777777" w:rsidR="002D16FC" w:rsidRDefault="002D16FC" w:rsidP="00C75824">
      <w:pPr>
        <w:widowControl w:val="0"/>
        <w:autoSpaceDE w:val="0"/>
        <w:autoSpaceDN w:val="0"/>
        <w:adjustRightInd w:val="0"/>
        <w:rPr>
          <w:rFonts w:ascii="Arial" w:hAnsi="Arial" w:cs="Arial"/>
          <w:b/>
          <w:sz w:val="22"/>
          <w:szCs w:val="22"/>
        </w:rPr>
      </w:pPr>
    </w:p>
    <w:p w14:paraId="5AFAB9A9" w14:textId="7717B139" w:rsidR="0029598C" w:rsidRDefault="0029598C" w:rsidP="00C75824">
      <w:pPr>
        <w:widowControl w:val="0"/>
        <w:autoSpaceDE w:val="0"/>
        <w:autoSpaceDN w:val="0"/>
        <w:adjustRightInd w:val="0"/>
        <w:rPr>
          <w:rFonts w:ascii="Arial" w:hAnsi="Arial" w:cs="Arial"/>
          <w:b/>
          <w:sz w:val="22"/>
          <w:szCs w:val="22"/>
        </w:rPr>
      </w:pPr>
    </w:p>
    <w:p w14:paraId="497D2246" w14:textId="6098A667" w:rsidR="008E0C42" w:rsidRPr="008E0C42" w:rsidRDefault="31C40BC7" w:rsidP="00C75824">
      <w:pPr>
        <w:widowControl w:val="0"/>
        <w:autoSpaceDE w:val="0"/>
        <w:autoSpaceDN w:val="0"/>
        <w:adjustRightInd w:val="0"/>
        <w:rPr>
          <w:rFonts w:ascii="Arial" w:eastAsia="Arial" w:hAnsi="Arial" w:cs="Arial"/>
          <w:b/>
          <w:bCs/>
          <w:sz w:val="22"/>
          <w:szCs w:val="22"/>
        </w:rPr>
      </w:pPr>
      <w:r w:rsidRPr="31C40BC7">
        <w:rPr>
          <w:rFonts w:ascii="Arial" w:eastAsia="Arial" w:hAnsi="Arial" w:cs="Arial"/>
          <w:b/>
          <w:bCs/>
          <w:sz w:val="22"/>
          <w:szCs w:val="22"/>
        </w:rPr>
        <w:t>Correspondence:</w:t>
      </w:r>
    </w:p>
    <w:p w14:paraId="0799EBFE" w14:textId="083D852E" w:rsidR="00D36F6B" w:rsidRDefault="31C40BC7" w:rsidP="31C40BC7">
      <w:pPr>
        <w:widowControl w:val="0"/>
        <w:autoSpaceDE w:val="0"/>
        <w:autoSpaceDN w:val="0"/>
        <w:adjustRightInd w:val="0"/>
        <w:rPr>
          <w:rFonts w:ascii="Arial" w:eastAsia="Arial" w:hAnsi="Arial" w:cs="Arial"/>
          <w:sz w:val="22"/>
          <w:szCs w:val="22"/>
        </w:rPr>
      </w:pPr>
      <w:r w:rsidRPr="31C40BC7">
        <w:rPr>
          <w:rFonts w:ascii="Arial" w:eastAsia="Arial" w:hAnsi="Arial" w:cs="Arial"/>
          <w:sz w:val="22"/>
          <w:szCs w:val="22"/>
        </w:rPr>
        <w:t>Lauren Martell, M.ADS. BCBA lm10ih@brocku.ca</w:t>
      </w:r>
    </w:p>
    <w:p w14:paraId="36FF20BA" w14:textId="77777777" w:rsidR="00D36F6B" w:rsidRDefault="31C40BC7" w:rsidP="31C40BC7">
      <w:pPr>
        <w:widowControl w:val="0"/>
        <w:autoSpaceDE w:val="0"/>
        <w:autoSpaceDN w:val="0"/>
        <w:adjustRightInd w:val="0"/>
        <w:rPr>
          <w:rFonts w:ascii="Arial" w:eastAsia="Arial" w:hAnsi="Arial" w:cs="Arial"/>
          <w:sz w:val="22"/>
          <w:szCs w:val="22"/>
        </w:rPr>
      </w:pPr>
      <w:r w:rsidRPr="31C40BC7">
        <w:rPr>
          <w:rFonts w:ascii="Arial" w:eastAsia="Arial" w:hAnsi="Arial" w:cs="Arial"/>
          <w:sz w:val="22"/>
          <w:szCs w:val="22"/>
        </w:rPr>
        <w:t>Rebecca Hansford, B.Sc. Hons, rh15om@brocku.ca</w:t>
      </w:r>
    </w:p>
    <w:p w14:paraId="749754E9" w14:textId="77777777" w:rsidR="00D36F6B" w:rsidRDefault="31C40BC7" w:rsidP="31C40BC7">
      <w:pPr>
        <w:widowControl w:val="0"/>
        <w:autoSpaceDE w:val="0"/>
        <w:autoSpaceDN w:val="0"/>
        <w:adjustRightInd w:val="0"/>
        <w:rPr>
          <w:rFonts w:ascii="Arial" w:eastAsia="Arial" w:hAnsi="Arial" w:cs="Arial"/>
          <w:sz w:val="22"/>
          <w:szCs w:val="22"/>
        </w:rPr>
      </w:pPr>
      <w:r w:rsidRPr="31C40BC7">
        <w:rPr>
          <w:rFonts w:ascii="Arial" w:eastAsia="Arial" w:hAnsi="Arial" w:cs="Arial"/>
          <w:sz w:val="22"/>
          <w:szCs w:val="22"/>
        </w:rPr>
        <w:t>Kaitlyn Young, B.Sc. Hons, ky15mo@brocku.ca</w:t>
      </w:r>
    </w:p>
    <w:p w14:paraId="74382489" w14:textId="6E55CE86" w:rsidR="009F3601" w:rsidRPr="008E0C42" w:rsidRDefault="31C40BC7" w:rsidP="00C75824">
      <w:pPr>
        <w:widowControl w:val="0"/>
        <w:autoSpaceDE w:val="0"/>
        <w:autoSpaceDN w:val="0"/>
        <w:adjustRightInd w:val="0"/>
        <w:rPr>
          <w:rFonts w:ascii="Arial" w:eastAsia="Arial" w:hAnsi="Arial" w:cs="Arial"/>
          <w:sz w:val="22"/>
          <w:szCs w:val="22"/>
        </w:rPr>
      </w:pPr>
      <w:r w:rsidRPr="31C40BC7">
        <w:rPr>
          <w:rFonts w:ascii="Arial" w:eastAsia="Arial" w:hAnsi="Arial" w:cs="Arial"/>
          <w:sz w:val="22"/>
          <w:szCs w:val="22"/>
        </w:rPr>
        <w:t xml:space="preserve">Dr. Rosemary </w:t>
      </w:r>
      <w:proofErr w:type="spellStart"/>
      <w:r w:rsidRPr="31C40BC7">
        <w:rPr>
          <w:rFonts w:ascii="Arial" w:eastAsia="Arial" w:hAnsi="Arial" w:cs="Arial"/>
          <w:sz w:val="22"/>
          <w:szCs w:val="22"/>
        </w:rPr>
        <w:t>Condillac</w:t>
      </w:r>
      <w:proofErr w:type="spellEnd"/>
      <w:r w:rsidRPr="31C40BC7">
        <w:rPr>
          <w:rFonts w:ascii="Arial" w:eastAsia="Arial" w:hAnsi="Arial" w:cs="Arial"/>
          <w:sz w:val="22"/>
          <w:szCs w:val="22"/>
        </w:rPr>
        <w:t xml:space="preserve">, C. Psych., BCBA-D, </w:t>
      </w:r>
      <w:proofErr w:type="spellStart"/>
      <w:r w:rsidRPr="31C40BC7">
        <w:rPr>
          <w:rFonts w:ascii="Arial" w:eastAsia="Arial" w:hAnsi="Arial" w:cs="Arial"/>
          <w:sz w:val="22"/>
          <w:szCs w:val="22"/>
        </w:rPr>
        <w:t>rcondillac@brocku</w:t>
      </w:r>
      <w:proofErr w:type="spellEnd"/>
      <w:r w:rsidRPr="31C40BC7">
        <w:rPr>
          <w:rFonts w:ascii="Arial" w:eastAsia="Arial" w:hAnsi="Arial" w:cs="Arial"/>
          <w:sz w:val="22"/>
          <w:szCs w:val="22"/>
        </w:rPr>
        <w:t>.</w:t>
      </w:r>
    </w:p>
    <w:p w14:paraId="28DEA231" w14:textId="77777777" w:rsidR="009F3601" w:rsidRDefault="009F3601" w:rsidP="00C75824">
      <w:pPr>
        <w:widowControl w:val="0"/>
        <w:autoSpaceDE w:val="0"/>
        <w:autoSpaceDN w:val="0"/>
        <w:adjustRightInd w:val="0"/>
        <w:rPr>
          <w:rFonts w:ascii="Arial" w:hAnsi="Arial" w:cs="Arial"/>
          <w:sz w:val="22"/>
          <w:szCs w:val="22"/>
        </w:rPr>
      </w:pPr>
    </w:p>
    <w:p w14:paraId="72B85E92" w14:textId="77777777" w:rsidR="00C75824" w:rsidRPr="00C75824" w:rsidRDefault="31C40BC7" w:rsidP="31C40BC7">
      <w:pPr>
        <w:widowControl w:val="0"/>
        <w:autoSpaceDE w:val="0"/>
        <w:autoSpaceDN w:val="0"/>
        <w:adjustRightInd w:val="0"/>
        <w:jc w:val="center"/>
        <w:rPr>
          <w:rFonts w:ascii="Arial" w:eastAsia="Arial" w:hAnsi="Arial" w:cs="Arial"/>
          <w:b/>
          <w:bCs/>
          <w:sz w:val="22"/>
          <w:szCs w:val="22"/>
          <w:highlight w:val="yellow"/>
        </w:rPr>
      </w:pPr>
      <w:r w:rsidRPr="31C40BC7">
        <w:rPr>
          <w:rFonts w:ascii="Arial" w:eastAsia="Arial" w:hAnsi="Arial" w:cs="Arial"/>
          <w:b/>
          <w:bCs/>
          <w:sz w:val="22"/>
          <w:szCs w:val="22"/>
        </w:rPr>
        <w:t>References</w:t>
      </w:r>
    </w:p>
    <w:p w14:paraId="2610EBF8" w14:textId="77777777" w:rsidR="00C75824" w:rsidRDefault="00C75824" w:rsidP="00C75824">
      <w:pPr>
        <w:rPr>
          <w:rFonts w:ascii="Arial" w:hAnsi="Arial" w:cs="Arial"/>
          <w:sz w:val="22"/>
          <w:szCs w:val="22"/>
        </w:rPr>
      </w:pPr>
    </w:p>
    <w:p w14:paraId="72395658" w14:textId="77777777" w:rsidR="002C34D5" w:rsidRPr="002C34D5" w:rsidRDefault="31C40BC7" w:rsidP="31C40BC7">
      <w:pPr>
        <w:rPr>
          <w:rFonts w:ascii="Arial" w:eastAsia="Arial" w:hAnsi="Arial" w:cs="Arial"/>
          <w:sz w:val="22"/>
          <w:szCs w:val="22"/>
          <w:lang w:val="en-CA"/>
        </w:rPr>
      </w:pPr>
      <w:r w:rsidRPr="31C40BC7">
        <w:rPr>
          <w:rFonts w:ascii="Arial" w:eastAsia="Arial" w:hAnsi="Arial" w:cs="Arial"/>
          <w:sz w:val="22"/>
          <w:szCs w:val="22"/>
          <w:lang w:val="en-CA"/>
        </w:rPr>
        <w:t xml:space="preserve">Dworkin, S. L., </w:t>
      </w:r>
      <w:proofErr w:type="spellStart"/>
      <w:r w:rsidRPr="31C40BC7">
        <w:rPr>
          <w:rFonts w:ascii="Arial" w:eastAsia="Arial" w:hAnsi="Arial" w:cs="Arial"/>
          <w:sz w:val="22"/>
          <w:szCs w:val="22"/>
          <w:lang w:val="en-CA"/>
        </w:rPr>
        <w:t>Lerum</w:t>
      </w:r>
      <w:proofErr w:type="spellEnd"/>
      <w:r w:rsidRPr="31C40BC7">
        <w:rPr>
          <w:rFonts w:ascii="Arial" w:eastAsia="Arial" w:hAnsi="Arial" w:cs="Arial"/>
          <w:sz w:val="22"/>
          <w:szCs w:val="22"/>
          <w:lang w:val="en-CA"/>
        </w:rPr>
        <w:t xml:space="preserve">, K., &amp; </w:t>
      </w:r>
      <w:proofErr w:type="spellStart"/>
      <w:r w:rsidRPr="31C40BC7">
        <w:rPr>
          <w:rFonts w:ascii="Arial" w:eastAsia="Arial" w:hAnsi="Arial" w:cs="Arial"/>
          <w:sz w:val="22"/>
          <w:szCs w:val="22"/>
          <w:lang w:val="en-CA"/>
        </w:rPr>
        <w:t>Zakaras</w:t>
      </w:r>
      <w:proofErr w:type="spellEnd"/>
      <w:r w:rsidRPr="31C40BC7">
        <w:rPr>
          <w:rFonts w:ascii="Arial" w:eastAsia="Arial" w:hAnsi="Arial" w:cs="Arial"/>
          <w:sz w:val="22"/>
          <w:szCs w:val="22"/>
          <w:lang w:val="en-CA"/>
        </w:rPr>
        <w:t xml:space="preserve">, J. M. (2016). Sexuality in the global south: 50 years of published research in the journal of sex research- Inclusions, omissions, and future possibility. </w:t>
      </w:r>
      <w:r w:rsidRPr="31C40BC7">
        <w:rPr>
          <w:rFonts w:ascii="Arial" w:eastAsia="Arial" w:hAnsi="Arial" w:cs="Arial"/>
          <w:i/>
          <w:iCs/>
          <w:sz w:val="22"/>
          <w:szCs w:val="22"/>
          <w:lang w:val="en-CA"/>
        </w:rPr>
        <w:t>Journal of Sex Research, 53</w:t>
      </w:r>
      <w:r w:rsidRPr="31C40BC7">
        <w:rPr>
          <w:rFonts w:ascii="Arial" w:eastAsia="Arial" w:hAnsi="Arial" w:cs="Arial"/>
          <w:sz w:val="22"/>
          <w:szCs w:val="22"/>
          <w:lang w:val="en-CA"/>
        </w:rPr>
        <w:t>(9), 1059-1064.</w:t>
      </w:r>
    </w:p>
    <w:p w14:paraId="1CB2523A" w14:textId="77777777" w:rsidR="00C32984" w:rsidRDefault="00C32984" w:rsidP="00C75824">
      <w:pPr>
        <w:rPr>
          <w:rFonts w:ascii="Arial" w:hAnsi="Arial" w:cs="Arial"/>
          <w:sz w:val="22"/>
          <w:szCs w:val="22"/>
        </w:rPr>
      </w:pPr>
    </w:p>
    <w:p w14:paraId="0009300D" w14:textId="77777777" w:rsidR="00C32984" w:rsidRPr="00C32984" w:rsidRDefault="31C40BC7" w:rsidP="31C40BC7">
      <w:pPr>
        <w:rPr>
          <w:rFonts w:ascii="Arial" w:eastAsia="Arial" w:hAnsi="Arial" w:cs="Arial"/>
          <w:sz w:val="22"/>
          <w:szCs w:val="22"/>
          <w:lang w:val="en-CA"/>
        </w:rPr>
      </w:pPr>
      <w:r w:rsidRPr="31C40BC7">
        <w:rPr>
          <w:rFonts w:ascii="Arial" w:eastAsia="Arial" w:hAnsi="Arial" w:cs="Arial"/>
          <w:sz w:val="22"/>
          <w:szCs w:val="22"/>
          <w:lang w:val="en-CA"/>
        </w:rPr>
        <w:t xml:space="preserve">Ma, H. H. (2006). An alternative method for quantitative synthesis of single-subject researches. </w:t>
      </w:r>
      <w:r w:rsidRPr="31C40BC7">
        <w:rPr>
          <w:rFonts w:ascii="Arial" w:eastAsia="Arial" w:hAnsi="Arial" w:cs="Arial"/>
          <w:i/>
          <w:iCs/>
          <w:sz w:val="22"/>
          <w:szCs w:val="22"/>
          <w:lang w:val="en-CA"/>
        </w:rPr>
        <w:t>Behaviour Modification, 30</w:t>
      </w:r>
      <w:r w:rsidRPr="31C40BC7">
        <w:rPr>
          <w:rFonts w:ascii="Arial" w:eastAsia="Arial" w:hAnsi="Arial" w:cs="Arial"/>
          <w:sz w:val="22"/>
          <w:szCs w:val="22"/>
          <w:lang w:val="en-CA"/>
        </w:rPr>
        <w:t>(5), 598-617.</w:t>
      </w:r>
    </w:p>
    <w:p w14:paraId="7B84FFF1" w14:textId="77777777" w:rsidR="00C32984" w:rsidRPr="00C75824" w:rsidRDefault="00C32984" w:rsidP="00C75824">
      <w:pPr>
        <w:rPr>
          <w:rFonts w:ascii="Arial" w:hAnsi="Arial" w:cs="Arial"/>
          <w:sz w:val="22"/>
          <w:szCs w:val="22"/>
        </w:rPr>
      </w:pPr>
    </w:p>
    <w:p w14:paraId="385BBA9C" w14:textId="77777777" w:rsidR="00C75824" w:rsidRPr="00C75824" w:rsidRDefault="00C75824" w:rsidP="00C75824">
      <w:pPr>
        <w:rPr>
          <w:rFonts w:ascii="Arial" w:hAnsi="Arial" w:cs="Arial"/>
          <w:sz w:val="22"/>
          <w:szCs w:val="22"/>
        </w:rPr>
      </w:pPr>
    </w:p>
    <w:p w14:paraId="3212D61A" w14:textId="77777777" w:rsidR="00F54AC1" w:rsidRPr="00C75824" w:rsidRDefault="00F54AC1">
      <w:pPr>
        <w:rPr>
          <w:rFonts w:ascii="Arial" w:hAnsi="Arial" w:cs="Arial"/>
          <w:sz w:val="22"/>
          <w:szCs w:val="22"/>
        </w:rPr>
      </w:pPr>
    </w:p>
    <w:sectPr w:rsidR="00F54AC1" w:rsidRPr="00C758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07505"/>
    <w:multiLevelType w:val="hybridMultilevel"/>
    <w:tmpl w:val="1F6E43BA"/>
    <w:lvl w:ilvl="0" w:tplc="BFB4EE66">
      <w:start w:val="1"/>
      <w:numFmt w:val="bullet"/>
      <w:lvlText w:val=""/>
      <w:lvlJc w:val="left"/>
      <w:pPr>
        <w:tabs>
          <w:tab w:val="num" w:pos="720"/>
        </w:tabs>
        <w:ind w:left="720" w:hanging="360"/>
      </w:pPr>
      <w:rPr>
        <w:rFonts w:ascii="Wingdings" w:hAnsi="Wingdings" w:hint="default"/>
      </w:rPr>
    </w:lvl>
    <w:lvl w:ilvl="1" w:tplc="7EA29C0A" w:tentative="1">
      <w:start w:val="1"/>
      <w:numFmt w:val="bullet"/>
      <w:lvlText w:val=""/>
      <w:lvlJc w:val="left"/>
      <w:pPr>
        <w:tabs>
          <w:tab w:val="num" w:pos="1440"/>
        </w:tabs>
        <w:ind w:left="1440" w:hanging="360"/>
      </w:pPr>
      <w:rPr>
        <w:rFonts w:ascii="Wingdings" w:hAnsi="Wingdings" w:hint="default"/>
      </w:rPr>
    </w:lvl>
    <w:lvl w:ilvl="2" w:tplc="B9823BC4" w:tentative="1">
      <w:start w:val="1"/>
      <w:numFmt w:val="bullet"/>
      <w:lvlText w:val=""/>
      <w:lvlJc w:val="left"/>
      <w:pPr>
        <w:tabs>
          <w:tab w:val="num" w:pos="2160"/>
        </w:tabs>
        <w:ind w:left="2160" w:hanging="360"/>
      </w:pPr>
      <w:rPr>
        <w:rFonts w:ascii="Wingdings" w:hAnsi="Wingdings" w:hint="default"/>
      </w:rPr>
    </w:lvl>
    <w:lvl w:ilvl="3" w:tplc="3E7EC988" w:tentative="1">
      <w:start w:val="1"/>
      <w:numFmt w:val="bullet"/>
      <w:lvlText w:val=""/>
      <w:lvlJc w:val="left"/>
      <w:pPr>
        <w:tabs>
          <w:tab w:val="num" w:pos="2880"/>
        </w:tabs>
        <w:ind w:left="2880" w:hanging="360"/>
      </w:pPr>
      <w:rPr>
        <w:rFonts w:ascii="Wingdings" w:hAnsi="Wingdings" w:hint="default"/>
      </w:rPr>
    </w:lvl>
    <w:lvl w:ilvl="4" w:tplc="D9504BEA" w:tentative="1">
      <w:start w:val="1"/>
      <w:numFmt w:val="bullet"/>
      <w:lvlText w:val=""/>
      <w:lvlJc w:val="left"/>
      <w:pPr>
        <w:tabs>
          <w:tab w:val="num" w:pos="3600"/>
        </w:tabs>
        <w:ind w:left="3600" w:hanging="360"/>
      </w:pPr>
      <w:rPr>
        <w:rFonts w:ascii="Wingdings" w:hAnsi="Wingdings" w:hint="default"/>
      </w:rPr>
    </w:lvl>
    <w:lvl w:ilvl="5" w:tplc="C2E0C12E" w:tentative="1">
      <w:start w:val="1"/>
      <w:numFmt w:val="bullet"/>
      <w:lvlText w:val=""/>
      <w:lvlJc w:val="left"/>
      <w:pPr>
        <w:tabs>
          <w:tab w:val="num" w:pos="4320"/>
        </w:tabs>
        <w:ind w:left="4320" w:hanging="360"/>
      </w:pPr>
      <w:rPr>
        <w:rFonts w:ascii="Wingdings" w:hAnsi="Wingdings" w:hint="default"/>
      </w:rPr>
    </w:lvl>
    <w:lvl w:ilvl="6" w:tplc="BA1C422E" w:tentative="1">
      <w:start w:val="1"/>
      <w:numFmt w:val="bullet"/>
      <w:lvlText w:val=""/>
      <w:lvlJc w:val="left"/>
      <w:pPr>
        <w:tabs>
          <w:tab w:val="num" w:pos="5040"/>
        </w:tabs>
        <w:ind w:left="5040" w:hanging="360"/>
      </w:pPr>
      <w:rPr>
        <w:rFonts w:ascii="Wingdings" w:hAnsi="Wingdings" w:hint="default"/>
      </w:rPr>
    </w:lvl>
    <w:lvl w:ilvl="7" w:tplc="2F4E4C5C" w:tentative="1">
      <w:start w:val="1"/>
      <w:numFmt w:val="bullet"/>
      <w:lvlText w:val=""/>
      <w:lvlJc w:val="left"/>
      <w:pPr>
        <w:tabs>
          <w:tab w:val="num" w:pos="5760"/>
        </w:tabs>
        <w:ind w:left="5760" w:hanging="360"/>
      </w:pPr>
      <w:rPr>
        <w:rFonts w:ascii="Wingdings" w:hAnsi="Wingdings" w:hint="default"/>
      </w:rPr>
    </w:lvl>
    <w:lvl w:ilvl="8" w:tplc="F388681C" w:tentative="1">
      <w:start w:val="1"/>
      <w:numFmt w:val="bullet"/>
      <w:lvlText w:val=""/>
      <w:lvlJc w:val="left"/>
      <w:pPr>
        <w:tabs>
          <w:tab w:val="num" w:pos="6480"/>
        </w:tabs>
        <w:ind w:left="6480" w:hanging="360"/>
      </w:pPr>
      <w:rPr>
        <w:rFonts w:ascii="Wingdings" w:hAnsi="Wingdings" w:hint="default"/>
      </w:rPr>
    </w:lvl>
  </w:abstractNum>
  <w:abstractNum w:abstractNumId="1">
    <w:nsid w:val="619A0B46"/>
    <w:multiLevelType w:val="hybridMultilevel"/>
    <w:tmpl w:val="7484823A"/>
    <w:lvl w:ilvl="0" w:tplc="5DA05928">
      <w:start w:val="1"/>
      <w:numFmt w:val="bullet"/>
      <w:lvlText w:val=""/>
      <w:lvlJc w:val="left"/>
      <w:pPr>
        <w:tabs>
          <w:tab w:val="num" w:pos="720"/>
        </w:tabs>
        <w:ind w:left="720" w:hanging="360"/>
      </w:pPr>
      <w:rPr>
        <w:rFonts w:ascii="Wingdings" w:hAnsi="Wingdings" w:hint="default"/>
      </w:rPr>
    </w:lvl>
    <w:lvl w:ilvl="1" w:tplc="EF82FD1E" w:tentative="1">
      <w:start w:val="1"/>
      <w:numFmt w:val="bullet"/>
      <w:lvlText w:val=""/>
      <w:lvlJc w:val="left"/>
      <w:pPr>
        <w:tabs>
          <w:tab w:val="num" w:pos="1440"/>
        </w:tabs>
        <w:ind w:left="1440" w:hanging="360"/>
      </w:pPr>
      <w:rPr>
        <w:rFonts w:ascii="Wingdings" w:hAnsi="Wingdings" w:hint="default"/>
      </w:rPr>
    </w:lvl>
    <w:lvl w:ilvl="2" w:tplc="01184090" w:tentative="1">
      <w:start w:val="1"/>
      <w:numFmt w:val="bullet"/>
      <w:lvlText w:val=""/>
      <w:lvlJc w:val="left"/>
      <w:pPr>
        <w:tabs>
          <w:tab w:val="num" w:pos="2160"/>
        </w:tabs>
        <w:ind w:left="2160" w:hanging="360"/>
      </w:pPr>
      <w:rPr>
        <w:rFonts w:ascii="Wingdings" w:hAnsi="Wingdings" w:hint="default"/>
      </w:rPr>
    </w:lvl>
    <w:lvl w:ilvl="3" w:tplc="3A203BC4" w:tentative="1">
      <w:start w:val="1"/>
      <w:numFmt w:val="bullet"/>
      <w:lvlText w:val=""/>
      <w:lvlJc w:val="left"/>
      <w:pPr>
        <w:tabs>
          <w:tab w:val="num" w:pos="2880"/>
        </w:tabs>
        <w:ind w:left="2880" w:hanging="360"/>
      </w:pPr>
      <w:rPr>
        <w:rFonts w:ascii="Wingdings" w:hAnsi="Wingdings" w:hint="default"/>
      </w:rPr>
    </w:lvl>
    <w:lvl w:ilvl="4" w:tplc="628E7DA6" w:tentative="1">
      <w:start w:val="1"/>
      <w:numFmt w:val="bullet"/>
      <w:lvlText w:val=""/>
      <w:lvlJc w:val="left"/>
      <w:pPr>
        <w:tabs>
          <w:tab w:val="num" w:pos="3600"/>
        </w:tabs>
        <w:ind w:left="3600" w:hanging="360"/>
      </w:pPr>
      <w:rPr>
        <w:rFonts w:ascii="Wingdings" w:hAnsi="Wingdings" w:hint="default"/>
      </w:rPr>
    </w:lvl>
    <w:lvl w:ilvl="5" w:tplc="C08C3D4C" w:tentative="1">
      <w:start w:val="1"/>
      <w:numFmt w:val="bullet"/>
      <w:lvlText w:val=""/>
      <w:lvlJc w:val="left"/>
      <w:pPr>
        <w:tabs>
          <w:tab w:val="num" w:pos="4320"/>
        </w:tabs>
        <w:ind w:left="4320" w:hanging="360"/>
      </w:pPr>
      <w:rPr>
        <w:rFonts w:ascii="Wingdings" w:hAnsi="Wingdings" w:hint="default"/>
      </w:rPr>
    </w:lvl>
    <w:lvl w:ilvl="6" w:tplc="FB04600E" w:tentative="1">
      <w:start w:val="1"/>
      <w:numFmt w:val="bullet"/>
      <w:lvlText w:val=""/>
      <w:lvlJc w:val="left"/>
      <w:pPr>
        <w:tabs>
          <w:tab w:val="num" w:pos="5040"/>
        </w:tabs>
        <w:ind w:left="5040" w:hanging="360"/>
      </w:pPr>
      <w:rPr>
        <w:rFonts w:ascii="Wingdings" w:hAnsi="Wingdings" w:hint="default"/>
      </w:rPr>
    </w:lvl>
    <w:lvl w:ilvl="7" w:tplc="75DCF9EE" w:tentative="1">
      <w:start w:val="1"/>
      <w:numFmt w:val="bullet"/>
      <w:lvlText w:val=""/>
      <w:lvlJc w:val="left"/>
      <w:pPr>
        <w:tabs>
          <w:tab w:val="num" w:pos="5760"/>
        </w:tabs>
        <w:ind w:left="5760" w:hanging="360"/>
      </w:pPr>
      <w:rPr>
        <w:rFonts w:ascii="Wingdings" w:hAnsi="Wingdings" w:hint="default"/>
      </w:rPr>
    </w:lvl>
    <w:lvl w:ilvl="8" w:tplc="A7F60E56" w:tentative="1">
      <w:start w:val="1"/>
      <w:numFmt w:val="bullet"/>
      <w:lvlText w:val=""/>
      <w:lvlJc w:val="left"/>
      <w:pPr>
        <w:tabs>
          <w:tab w:val="num" w:pos="6480"/>
        </w:tabs>
        <w:ind w:left="6480" w:hanging="360"/>
      </w:pPr>
      <w:rPr>
        <w:rFonts w:ascii="Wingdings" w:hAnsi="Wingdings" w:hint="default"/>
      </w:rPr>
    </w:lvl>
  </w:abstractNum>
  <w:abstractNum w:abstractNumId="2">
    <w:nsid w:val="6B945552"/>
    <w:multiLevelType w:val="hybridMultilevel"/>
    <w:tmpl w:val="E1924BEE"/>
    <w:lvl w:ilvl="0" w:tplc="5EE603CA">
      <w:start w:val="1"/>
      <w:numFmt w:val="bullet"/>
      <w:lvlText w:val=""/>
      <w:lvlJc w:val="left"/>
      <w:pPr>
        <w:tabs>
          <w:tab w:val="num" w:pos="720"/>
        </w:tabs>
        <w:ind w:left="720" w:hanging="360"/>
      </w:pPr>
      <w:rPr>
        <w:rFonts w:ascii="Wingdings" w:hAnsi="Wingdings" w:hint="default"/>
      </w:rPr>
    </w:lvl>
    <w:lvl w:ilvl="1" w:tplc="D6749794" w:tentative="1">
      <w:start w:val="1"/>
      <w:numFmt w:val="bullet"/>
      <w:lvlText w:val=""/>
      <w:lvlJc w:val="left"/>
      <w:pPr>
        <w:tabs>
          <w:tab w:val="num" w:pos="1440"/>
        </w:tabs>
        <w:ind w:left="1440" w:hanging="360"/>
      </w:pPr>
      <w:rPr>
        <w:rFonts w:ascii="Wingdings" w:hAnsi="Wingdings" w:hint="default"/>
      </w:rPr>
    </w:lvl>
    <w:lvl w:ilvl="2" w:tplc="7728D458" w:tentative="1">
      <w:start w:val="1"/>
      <w:numFmt w:val="bullet"/>
      <w:lvlText w:val=""/>
      <w:lvlJc w:val="left"/>
      <w:pPr>
        <w:tabs>
          <w:tab w:val="num" w:pos="2160"/>
        </w:tabs>
        <w:ind w:left="2160" w:hanging="360"/>
      </w:pPr>
      <w:rPr>
        <w:rFonts w:ascii="Wingdings" w:hAnsi="Wingdings" w:hint="default"/>
      </w:rPr>
    </w:lvl>
    <w:lvl w:ilvl="3" w:tplc="E10C4626" w:tentative="1">
      <w:start w:val="1"/>
      <w:numFmt w:val="bullet"/>
      <w:lvlText w:val=""/>
      <w:lvlJc w:val="left"/>
      <w:pPr>
        <w:tabs>
          <w:tab w:val="num" w:pos="2880"/>
        </w:tabs>
        <w:ind w:left="2880" w:hanging="360"/>
      </w:pPr>
      <w:rPr>
        <w:rFonts w:ascii="Wingdings" w:hAnsi="Wingdings" w:hint="default"/>
      </w:rPr>
    </w:lvl>
    <w:lvl w:ilvl="4" w:tplc="AE265E9E" w:tentative="1">
      <w:start w:val="1"/>
      <w:numFmt w:val="bullet"/>
      <w:lvlText w:val=""/>
      <w:lvlJc w:val="left"/>
      <w:pPr>
        <w:tabs>
          <w:tab w:val="num" w:pos="3600"/>
        </w:tabs>
        <w:ind w:left="3600" w:hanging="360"/>
      </w:pPr>
      <w:rPr>
        <w:rFonts w:ascii="Wingdings" w:hAnsi="Wingdings" w:hint="default"/>
      </w:rPr>
    </w:lvl>
    <w:lvl w:ilvl="5" w:tplc="32EE283A" w:tentative="1">
      <w:start w:val="1"/>
      <w:numFmt w:val="bullet"/>
      <w:lvlText w:val=""/>
      <w:lvlJc w:val="left"/>
      <w:pPr>
        <w:tabs>
          <w:tab w:val="num" w:pos="4320"/>
        </w:tabs>
        <w:ind w:left="4320" w:hanging="360"/>
      </w:pPr>
      <w:rPr>
        <w:rFonts w:ascii="Wingdings" w:hAnsi="Wingdings" w:hint="default"/>
      </w:rPr>
    </w:lvl>
    <w:lvl w:ilvl="6" w:tplc="81C29600" w:tentative="1">
      <w:start w:val="1"/>
      <w:numFmt w:val="bullet"/>
      <w:lvlText w:val=""/>
      <w:lvlJc w:val="left"/>
      <w:pPr>
        <w:tabs>
          <w:tab w:val="num" w:pos="5040"/>
        </w:tabs>
        <w:ind w:left="5040" w:hanging="360"/>
      </w:pPr>
      <w:rPr>
        <w:rFonts w:ascii="Wingdings" w:hAnsi="Wingdings" w:hint="default"/>
      </w:rPr>
    </w:lvl>
    <w:lvl w:ilvl="7" w:tplc="FC480284" w:tentative="1">
      <w:start w:val="1"/>
      <w:numFmt w:val="bullet"/>
      <w:lvlText w:val=""/>
      <w:lvlJc w:val="left"/>
      <w:pPr>
        <w:tabs>
          <w:tab w:val="num" w:pos="5760"/>
        </w:tabs>
        <w:ind w:left="5760" w:hanging="360"/>
      </w:pPr>
      <w:rPr>
        <w:rFonts w:ascii="Wingdings" w:hAnsi="Wingdings" w:hint="default"/>
      </w:rPr>
    </w:lvl>
    <w:lvl w:ilvl="8" w:tplc="C9D6A8A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24"/>
    <w:rsid w:val="00001676"/>
    <w:rsid w:val="00066441"/>
    <w:rsid w:val="00073108"/>
    <w:rsid w:val="000C077D"/>
    <w:rsid w:val="00125270"/>
    <w:rsid w:val="001305EA"/>
    <w:rsid w:val="001509A1"/>
    <w:rsid w:val="00195F2A"/>
    <w:rsid w:val="001B0FE4"/>
    <w:rsid w:val="00225CEF"/>
    <w:rsid w:val="0024015B"/>
    <w:rsid w:val="002403F1"/>
    <w:rsid w:val="002465B9"/>
    <w:rsid w:val="0027516B"/>
    <w:rsid w:val="0029598C"/>
    <w:rsid w:val="002C34D5"/>
    <w:rsid w:val="002D16FC"/>
    <w:rsid w:val="003169DC"/>
    <w:rsid w:val="00327757"/>
    <w:rsid w:val="003C01DE"/>
    <w:rsid w:val="003C5871"/>
    <w:rsid w:val="003F04CA"/>
    <w:rsid w:val="003F560D"/>
    <w:rsid w:val="0041193B"/>
    <w:rsid w:val="00415A2F"/>
    <w:rsid w:val="00443D2A"/>
    <w:rsid w:val="004472F5"/>
    <w:rsid w:val="004D6FEE"/>
    <w:rsid w:val="00547D84"/>
    <w:rsid w:val="00562225"/>
    <w:rsid w:val="0056429E"/>
    <w:rsid w:val="005E1F35"/>
    <w:rsid w:val="005E5009"/>
    <w:rsid w:val="005F0D51"/>
    <w:rsid w:val="00603E63"/>
    <w:rsid w:val="00616E1F"/>
    <w:rsid w:val="006950C0"/>
    <w:rsid w:val="006E1AD1"/>
    <w:rsid w:val="006E40D2"/>
    <w:rsid w:val="00773468"/>
    <w:rsid w:val="00784009"/>
    <w:rsid w:val="007C1F02"/>
    <w:rsid w:val="007D3FA0"/>
    <w:rsid w:val="007E7AAA"/>
    <w:rsid w:val="0080472D"/>
    <w:rsid w:val="00815C8B"/>
    <w:rsid w:val="008E0C42"/>
    <w:rsid w:val="0094048A"/>
    <w:rsid w:val="00954264"/>
    <w:rsid w:val="00985B04"/>
    <w:rsid w:val="009B3366"/>
    <w:rsid w:val="009B5B33"/>
    <w:rsid w:val="009B72A0"/>
    <w:rsid w:val="009F3601"/>
    <w:rsid w:val="00A06113"/>
    <w:rsid w:val="00A23A1C"/>
    <w:rsid w:val="00A26E38"/>
    <w:rsid w:val="00A4162D"/>
    <w:rsid w:val="00A42283"/>
    <w:rsid w:val="00A61C25"/>
    <w:rsid w:val="00AE0374"/>
    <w:rsid w:val="00AF1FBB"/>
    <w:rsid w:val="00AF3736"/>
    <w:rsid w:val="00B06220"/>
    <w:rsid w:val="00B10F46"/>
    <w:rsid w:val="00B17CA7"/>
    <w:rsid w:val="00B27AFD"/>
    <w:rsid w:val="00B35CA2"/>
    <w:rsid w:val="00B43D71"/>
    <w:rsid w:val="00B5080C"/>
    <w:rsid w:val="00C2605A"/>
    <w:rsid w:val="00C32984"/>
    <w:rsid w:val="00C3435F"/>
    <w:rsid w:val="00C424E6"/>
    <w:rsid w:val="00C717D8"/>
    <w:rsid w:val="00C75824"/>
    <w:rsid w:val="00C91E47"/>
    <w:rsid w:val="00CA0E5A"/>
    <w:rsid w:val="00CC2FA7"/>
    <w:rsid w:val="00CC34E3"/>
    <w:rsid w:val="00CD0E4A"/>
    <w:rsid w:val="00D02CA8"/>
    <w:rsid w:val="00D249F1"/>
    <w:rsid w:val="00D36F6B"/>
    <w:rsid w:val="00D5330D"/>
    <w:rsid w:val="00D80D3D"/>
    <w:rsid w:val="00D846BC"/>
    <w:rsid w:val="00DD7E81"/>
    <w:rsid w:val="00DE2519"/>
    <w:rsid w:val="00E01A11"/>
    <w:rsid w:val="00E605A3"/>
    <w:rsid w:val="00E82360"/>
    <w:rsid w:val="00E970B8"/>
    <w:rsid w:val="00EC54BE"/>
    <w:rsid w:val="00ED01D9"/>
    <w:rsid w:val="00ED6D30"/>
    <w:rsid w:val="00F10182"/>
    <w:rsid w:val="00F23ED4"/>
    <w:rsid w:val="00F54AC1"/>
    <w:rsid w:val="00F64B36"/>
    <w:rsid w:val="00F869D6"/>
    <w:rsid w:val="00F8732B"/>
    <w:rsid w:val="00F8793B"/>
    <w:rsid w:val="00FA6629"/>
    <w:rsid w:val="00FE7EBC"/>
    <w:rsid w:val="00FF2C2D"/>
    <w:rsid w:val="00FF4C84"/>
    <w:rsid w:val="31C40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7644"/>
  <w15:chartTrackingRefBased/>
  <w15:docId w15:val="{4F596630-5E47-48CE-8C59-E95BB0F7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24"/>
    <w:pPr>
      <w:spacing w:after="0" w:line="240" w:lineRule="auto"/>
    </w:pPr>
    <w:rPr>
      <w:rFonts w:ascii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009"/>
    <w:pPr>
      <w:ind w:left="720"/>
      <w:contextualSpacing/>
    </w:pPr>
  </w:style>
  <w:style w:type="character" w:styleId="Hyperlink">
    <w:name w:val="Hyperlink"/>
    <w:basedOn w:val="DefaultParagraphFont"/>
    <w:uiPriority w:val="99"/>
    <w:unhideWhenUsed/>
    <w:rsid w:val="00ED6D30"/>
    <w:rPr>
      <w:color w:val="0563C1" w:themeColor="hyperlink"/>
      <w:u w:val="single"/>
    </w:rPr>
  </w:style>
  <w:style w:type="character" w:styleId="FollowedHyperlink">
    <w:name w:val="FollowedHyperlink"/>
    <w:basedOn w:val="DefaultParagraphFont"/>
    <w:uiPriority w:val="99"/>
    <w:semiHidden/>
    <w:unhideWhenUsed/>
    <w:rsid w:val="00ED6D30"/>
    <w:rPr>
      <w:color w:val="954F72" w:themeColor="followedHyperlink"/>
      <w:u w:val="single"/>
    </w:rPr>
  </w:style>
  <w:style w:type="character" w:styleId="CommentReference">
    <w:name w:val="annotation reference"/>
    <w:basedOn w:val="DefaultParagraphFont"/>
    <w:uiPriority w:val="99"/>
    <w:semiHidden/>
    <w:unhideWhenUsed/>
    <w:rsid w:val="00CD0E4A"/>
    <w:rPr>
      <w:sz w:val="16"/>
      <w:szCs w:val="16"/>
    </w:rPr>
  </w:style>
  <w:style w:type="paragraph" w:styleId="CommentText">
    <w:name w:val="annotation text"/>
    <w:basedOn w:val="Normal"/>
    <w:link w:val="CommentTextChar"/>
    <w:uiPriority w:val="99"/>
    <w:semiHidden/>
    <w:unhideWhenUsed/>
    <w:rsid w:val="00CD0E4A"/>
    <w:rPr>
      <w:sz w:val="20"/>
      <w:szCs w:val="20"/>
    </w:rPr>
  </w:style>
  <w:style w:type="character" w:customStyle="1" w:styleId="CommentTextChar">
    <w:name w:val="Comment Text Char"/>
    <w:basedOn w:val="DefaultParagraphFont"/>
    <w:link w:val="CommentText"/>
    <w:uiPriority w:val="99"/>
    <w:semiHidden/>
    <w:rsid w:val="00CD0E4A"/>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CD0E4A"/>
    <w:rPr>
      <w:b/>
      <w:bCs/>
    </w:rPr>
  </w:style>
  <w:style w:type="character" w:customStyle="1" w:styleId="CommentSubjectChar">
    <w:name w:val="Comment Subject Char"/>
    <w:basedOn w:val="CommentTextChar"/>
    <w:link w:val="CommentSubject"/>
    <w:uiPriority w:val="99"/>
    <w:semiHidden/>
    <w:rsid w:val="00CD0E4A"/>
    <w:rPr>
      <w:rFonts w:ascii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CD0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59">
      <w:bodyDiv w:val="1"/>
      <w:marLeft w:val="0"/>
      <w:marRight w:val="0"/>
      <w:marTop w:val="0"/>
      <w:marBottom w:val="0"/>
      <w:divBdr>
        <w:top w:val="none" w:sz="0" w:space="0" w:color="auto"/>
        <w:left w:val="none" w:sz="0" w:space="0" w:color="auto"/>
        <w:bottom w:val="none" w:sz="0" w:space="0" w:color="auto"/>
        <w:right w:val="none" w:sz="0" w:space="0" w:color="auto"/>
      </w:divBdr>
    </w:div>
    <w:div w:id="402217775">
      <w:bodyDiv w:val="1"/>
      <w:marLeft w:val="0"/>
      <w:marRight w:val="0"/>
      <w:marTop w:val="0"/>
      <w:marBottom w:val="0"/>
      <w:divBdr>
        <w:top w:val="none" w:sz="0" w:space="0" w:color="auto"/>
        <w:left w:val="none" w:sz="0" w:space="0" w:color="auto"/>
        <w:bottom w:val="none" w:sz="0" w:space="0" w:color="auto"/>
        <w:right w:val="none" w:sz="0" w:space="0" w:color="auto"/>
      </w:divBdr>
    </w:div>
    <w:div w:id="420414384">
      <w:bodyDiv w:val="1"/>
      <w:marLeft w:val="0"/>
      <w:marRight w:val="0"/>
      <w:marTop w:val="0"/>
      <w:marBottom w:val="0"/>
      <w:divBdr>
        <w:top w:val="none" w:sz="0" w:space="0" w:color="auto"/>
        <w:left w:val="none" w:sz="0" w:space="0" w:color="auto"/>
        <w:bottom w:val="none" w:sz="0" w:space="0" w:color="auto"/>
        <w:right w:val="none" w:sz="0" w:space="0" w:color="auto"/>
      </w:divBdr>
      <w:divsChild>
        <w:div w:id="271595659">
          <w:marLeft w:val="720"/>
          <w:marRight w:val="0"/>
          <w:marTop w:val="0"/>
          <w:marBottom w:val="0"/>
          <w:divBdr>
            <w:top w:val="none" w:sz="0" w:space="0" w:color="auto"/>
            <w:left w:val="none" w:sz="0" w:space="0" w:color="auto"/>
            <w:bottom w:val="none" w:sz="0" w:space="0" w:color="auto"/>
            <w:right w:val="none" w:sz="0" w:space="0" w:color="auto"/>
          </w:divBdr>
        </w:div>
        <w:div w:id="1658610410">
          <w:marLeft w:val="720"/>
          <w:marRight w:val="0"/>
          <w:marTop w:val="0"/>
          <w:marBottom w:val="0"/>
          <w:divBdr>
            <w:top w:val="none" w:sz="0" w:space="0" w:color="auto"/>
            <w:left w:val="none" w:sz="0" w:space="0" w:color="auto"/>
            <w:bottom w:val="none" w:sz="0" w:space="0" w:color="auto"/>
            <w:right w:val="none" w:sz="0" w:space="0" w:color="auto"/>
          </w:divBdr>
        </w:div>
        <w:div w:id="1617057645">
          <w:marLeft w:val="720"/>
          <w:marRight w:val="0"/>
          <w:marTop w:val="0"/>
          <w:marBottom w:val="0"/>
          <w:divBdr>
            <w:top w:val="none" w:sz="0" w:space="0" w:color="auto"/>
            <w:left w:val="none" w:sz="0" w:space="0" w:color="auto"/>
            <w:bottom w:val="none" w:sz="0" w:space="0" w:color="auto"/>
            <w:right w:val="none" w:sz="0" w:space="0" w:color="auto"/>
          </w:divBdr>
        </w:div>
      </w:divsChild>
    </w:div>
    <w:div w:id="437339832">
      <w:bodyDiv w:val="1"/>
      <w:marLeft w:val="0"/>
      <w:marRight w:val="0"/>
      <w:marTop w:val="0"/>
      <w:marBottom w:val="0"/>
      <w:divBdr>
        <w:top w:val="none" w:sz="0" w:space="0" w:color="auto"/>
        <w:left w:val="none" w:sz="0" w:space="0" w:color="auto"/>
        <w:bottom w:val="none" w:sz="0" w:space="0" w:color="auto"/>
        <w:right w:val="none" w:sz="0" w:space="0" w:color="auto"/>
      </w:divBdr>
      <w:divsChild>
        <w:div w:id="936525876">
          <w:marLeft w:val="720"/>
          <w:marRight w:val="0"/>
          <w:marTop w:val="0"/>
          <w:marBottom w:val="0"/>
          <w:divBdr>
            <w:top w:val="none" w:sz="0" w:space="0" w:color="auto"/>
            <w:left w:val="none" w:sz="0" w:space="0" w:color="auto"/>
            <w:bottom w:val="none" w:sz="0" w:space="0" w:color="auto"/>
            <w:right w:val="none" w:sz="0" w:space="0" w:color="auto"/>
          </w:divBdr>
        </w:div>
        <w:div w:id="921068531">
          <w:marLeft w:val="720"/>
          <w:marRight w:val="0"/>
          <w:marTop w:val="0"/>
          <w:marBottom w:val="0"/>
          <w:divBdr>
            <w:top w:val="none" w:sz="0" w:space="0" w:color="auto"/>
            <w:left w:val="none" w:sz="0" w:space="0" w:color="auto"/>
            <w:bottom w:val="none" w:sz="0" w:space="0" w:color="auto"/>
            <w:right w:val="none" w:sz="0" w:space="0" w:color="auto"/>
          </w:divBdr>
        </w:div>
        <w:div w:id="808716155">
          <w:marLeft w:val="720"/>
          <w:marRight w:val="0"/>
          <w:marTop w:val="0"/>
          <w:marBottom w:val="0"/>
          <w:divBdr>
            <w:top w:val="none" w:sz="0" w:space="0" w:color="auto"/>
            <w:left w:val="none" w:sz="0" w:space="0" w:color="auto"/>
            <w:bottom w:val="none" w:sz="0" w:space="0" w:color="auto"/>
            <w:right w:val="none" w:sz="0" w:space="0" w:color="auto"/>
          </w:divBdr>
        </w:div>
        <w:div w:id="976883247">
          <w:marLeft w:val="720"/>
          <w:marRight w:val="0"/>
          <w:marTop w:val="0"/>
          <w:marBottom w:val="0"/>
          <w:divBdr>
            <w:top w:val="none" w:sz="0" w:space="0" w:color="auto"/>
            <w:left w:val="none" w:sz="0" w:space="0" w:color="auto"/>
            <w:bottom w:val="none" w:sz="0" w:space="0" w:color="auto"/>
            <w:right w:val="none" w:sz="0" w:space="0" w:color="auto"/>
          </w:divBdr>
        </w:div>
        <w:div w:id="392193929">
          <w:marLeft w:val="720"/>
          <w:marRight w:val="0"/>
          <w:marTop w:val="0"/>
          <w:marBottom w:val="0"/>
          <w:divBdr>
            <w:top w:val="none" w:sz="0" w:space="0" w:color="auto"/>
            <w:left w:val="none" w:sz="0" w:space="0" w:color="auto"/>
            <w:bottom w:val="none" w:sz="0" w:space="0" w:color="auto"/>
            <w:right w:val="none" w:sz="0" w:space="0" w:color="auto"/>
          </w:divBdr>
        </w:div>
        <w:div w:id="751391653">
          <w:marLeft w:val="720"/>
          <w:marRight w:val="0"/>
          <w:marTop w:val="0"/>
          <w:marBottom w:val="0"/>
          <w:divBdr>
            <w:top w:val="none" w:sz="0" w:space="0" w:color="auto"/>
            <w:left w:val="none" w:sz="0" w:space="0" w:color="auto"/>
            <w:bottom w:val="none" w:sz="0" w:space="0" w:color="auto"/>
            <w:right w:val="none" w:sz="0" w:space="0" w:color="auto"/>
          </w:divBdr>
        </w:div>
        <w:div w:id="1260795246">
          <w:marLeft w:val="720"/>
          <w:marRight w:val="0"/>
          <w:marTop w:val="0"/>
          <w:marBottom w:val="0"/>
          <w:divBdr>
            <w:top w:val="none" w:sz="0" w:space="0" w:color="auto"/>
            <w:left w:val="none" w:sz="0" w:space="0" w:color="auto"/>
            <w:bottom w:val="none" w:sz="0" w:space="0" w:color="auto"/>
            <w:right w:val="none" w:sz="0" w:space="0" w:color="auto"/>
          </w:divBdr>
        </w:div>
        <w:div w:id="2098360888">
          <w:marLeft w:val="720"/>
          <w:marRight w:val="0"/>
          <w:marTop w:val="0"/>
          <w:marBottom w:val="0"/>
          <w:divBdr>
            <w:top w:val="none" w:sz="0" w:space="0" w:color="auto"/>
            <w:left w:val="none" w:sz="0" w:space="0" w:color="auto"/>
            <w:bottom w:val="none" w:sz="0" w:space="0" w:color="auto"/>
            <w:right w:val="none" w:sz="0" w:space="0" w:color="auto"/>
          </w:divBdr>
        </w:div>
        <w:div w:id="1492716955">
          <w:marLeft w:val="720"/>
          <w:marRight w:val="0"/>
          <w:marTop w:val="0"/>
          <w:marBottom w:val="0"/>
          <w:divBdr>
            <w:top w:val="none" w:sz="0" w:space="0" w:color="auto"/>
            <w:left w:val="none" w:sz="0" w:space="0" w:color="auto"/>
            <w:bottom w:val="none" w:sz="0" w:space="0" w:color="auto"/>
            <w:right w:val="none" w:sz="0" w:space="0" w:color="auto"/>
          </w:divBdr>
        </w:div>
        <w:div w:id="803542805">
          <w:marLeft w:val="720"/>
          <w:marRight w:val="0"/>
          <w:marTop w:val="0"/>
          <w:marBottom w:val="0"/>
          <w:divBdr>
            <w:top w:val="none" w:sz="0" w:space="0" w:color="auto"/>
            <w:left w:val="none" w:sz="0" w:space="0" w:color="auto"/>
            <w:bottom w:val="none" w:sz="0" w:space="0" w:color="auto"/>
            <w:right w:val="none" w:sz="0" w:space="0" w:color="auto"/>
          </w:divBdr>
        </w:div>
      </w:divsChild>
    </w:div>
    <w:div w:id="1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426734424">
          <w:marLeft w:val="720"/>
          <w:marRight w:val="0"/>
          <w:marTop w:val="0"/>
          <w:marBottom w:val="0"/>
          <w:divBdr>
            <w:top w:val="none" w:sz="0" w:space="0" w:color="auto"/>
            <w:left w:val="none" w:sz="0" w:space="0" w:color="auto"/>
            <w:bottom w:val="none" w:sz="0" w:space="0" w:color="auto"/>
            <w:right w:val="none" w:sz="0" w:space="0" w:color="auto"/>
          </w:divBdr>
        </w:div>
        <w:div w:id="456684158">
          <w:marLeft w:val="720"/>
          <w:marRight w:val="0"/>
          <w:marTop w:val="0"/>
          <w:marBottom w:val="0"/>
          <w:divBdr>
            <w:top w:val="none" w:sz="0" w:space="0" w:color="auto"/>
            <w:left w:val="none" w:sz="0" w:space="0" w:color="auto"/>
            <w:bottom w:val="none" w:sz="0" w:space="0" w:color="auto"/>
            <w:right w:val="none" w:sz="0" w:space="0" w:color="auto"/>
          </w:divBdr>
        </w:div>
        <w:div w:id="1734238490">
          <w:marLeft w:val="720"/>
          <w:marRight w:val="0"/>
          <w:marTop w:val="0"/>
          <w:marBottom w:val="0"/>
          <w:divBdr>
            <w:top w:val="none" w:sz="0" w:space="0" w:color="auto"/>
            <w:left w:val="none" w:sz="0" w:space="0" w:color="auto"/>
            <w:bottom w:val="none" w:sz="0" w:space="0" w:color="auto"/>
            <w:right w:val="none" w:sz="0" w:space="0" w:color="auto"/>
          </w:divBdr>
        </w:div>
        <w:div w:id="879051999">
          <w:marLeft w:val="720"/>
          <w:marRight w:val="0"/>
          <w:marTop w:val="0"/>
          <w:marBottom w:val="0"/>
          <w:divBdr>
            <w:top w:val="none" w:sz="0" w:space="0" w:color="auto"/>
            <w:left w:val="none" w:sz="0" w:space="0" w:color="auto"/>
            <w:bottom w:val="none" w:sz="0" w:space="0" w:color="auto"/>
            <w:right w:val="none" w:sz="0" w:space="0" w:color="auto"/>
          </w:divBdr>
        </w:div>
      </w:divsChild>
    </w:div>
    <w:div w:id="21454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3426</Characters>
  <Application>Microsoft Macintosh Word</Application>
  <DocSecurity>0</DocSecurity>
  <Lines>28</Lines>
  <Paragraphs>8</Paragraphs>
  <ScaleCrop>false</ScaleCrop>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Hansford</dc:creator>
  <cp:keywords/>
  <dc:description/>
  <cp:lastModifiedBy>Lauren Martell</cp:lastModifiedBy>
  <cp:revision>2</cp:revision>
  <dcterms:created xsi:type="dcterms:W3CDTF">2017-01-16T03:14:00Z</dcterms:created>
  <dcterms:modified xsi:type="dcterms:W3CDTF">2017-01-16T03:14:00Z</dcterms:modified>
</cp:coreProperties>
</file>