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7FF2" w14:textId="159FD707" w:rsidR="001916B8" w:rsidRPr="00E22636" w:rsidRDefault="001916B8" w:rsidP="008A2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00E22636">
        <w:rPr>
          <w:rFonts w:eastAsia="Times New Roman"/>
          <w:b/>
          <w:color w:val="000000" w:themeColor="text1"/>
          <w:lang w:val="en-CA" w:eastAsia="en-CA"/>
        </w:rPr>
        <w:t>E</w:t>
      </w:r>
      <w:r w:rsidR="005E25A3" w:rsidRPr="00E22636">
        <w:rPr>
          <w:rFonts w:eastAsia="Times New Roman"/>
          <w:b/>
          <w:color w:val="000000" w:themeColor="text1"/>
          <w:lang w:val="en-CA" w:eastAsia="en-CA"/>
        </w:rPr>
        <w:t xml:space="preserve">VALUATION OF </w:t>
      </w:r>
      <w:r w:rsidR="008A2026">
        <w:rPr>
          <w:rFonts w:eastAsia="Times New Roman"/>
          <w:b/>
          <w:color w:val="000000" w:themeColor="text1"/>
          <w:lang w:val="en-CA" w:eastAsia="en-CA"/>
        </w:rPr>
        <w:t>PSYCHOTROPIC MEDICATION</w:t>
      </w:r>
      <w:r w:rsidR="005E25A3" w:rsidRPr="00E22636">
        <w:rPr>
          <w:rFonts w:eastAsia="Times New Roman"/>
          <w:b/>
          <w:color w:val="000000" w:themeColor="text1"/>
          <w:lang w:val="en-CA" w:eastAsia="en-CA"/>
        </w:rPr>
        <w:t xml:space="preserve"> PATTERNS ACROSS INDIVIDUALS WITH ID THAT TRANSITION</w:t>
      </w:r>
      <w:r w:rsidR="00FC1669" w:rsidRPr="00E22636">
        <w:rPr>
          <w:rFonts w:eastAsia="Times New Roman"/>
          <w:b/>
          <w:color w:val="000000" w:themeColor="text1"/>
          <w:lang w:val="en-CA" w:eastAsia="en-CA"/>
        </w:rPr>
        <w:t>ED</w:t>
      </w:r>
      <w:r w:rsidR="005E25A3" w:rsidRPr="00E22636">
        <w:rPr>
          <w:rFonts w:eastAsia="Times New Roman"/>
          <w:b/>
          <w:color w:val="000000" w:themeColor="text1"/>
          <w:lang w:val="en-CA" w:eastAsia="en-CA"/>
        </w:rPr>
        <w:t xml:space="preserve"> FROM ONTARIO FACILITIES FROM 2004 TO 2009</w:t>
      </w:r>
    </w:p>
    <w:p w14:paraId="03CB5729" w14:textId="1691A6E5" w:rsidR="009017B0" w:rsidRPr="00E22636" w:rsidRDefault="009017B0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00E22636">
        <w:rPr>
          <w:rFonts w:eastAsia="Times New Roman"/>
          <w:b/>
          <w:color w:val="000000" w:themeColor="text1"/>
          <w:lang w:val="en-CA" w:eastAsia="en-CA"/>
        </w:rPr>
        <w:t xml:space="preserve">Rebecca Hansford, B.Sc., Kaitlyn Young, B.Sc., &amp; </w:t>
      </w:r>
      <w:r w:rsidRPr="00D3027F">
        <w:rPr>
          <w:rFonts w:eastAsia="Times New Roman"/>
          <w:b/>
          <w:noProof/>
          <w:color w:val="000000" w:themeColor="text1"/>
          <w:lang w:val="en-CA" w:eastAsia="en-CA"/>
        </w:rPr>
        <w:t>Dr.</w:t>
      </w:r>
      <w:r w:rsidRPr="00E22636">
        <w:rPr>
          <w:rFonts w:eastAsia="Times New Roman"/>
          <w:b/>
          <w:color w:val="000000" w:themeColor="text1"/>
          <w:lang w:val="en-CA" w:eastAsia="en-CA"/>
        </w:rPr>
        <w:t xml:space="preserve"> Rosemary Condillac, </w:t>
      </w:r>
      <w:r w:rsidR="00AC2DA6" w:rsidRPr="00E22636">
        <w:rPr>
          <w:rFonts w:eastAsia="Times New Roman"/>
          <w:b/>
          <w:color w:val="000000" w:themeColor="text1"/>
          <w:lang w:val="en-CA" w:eastAsia="en-CA"/>
        </w:rPr>
        <w:t>Ph. D, C. Psych, BCBA-D.</w:t>
      </w:r>
    </w:p>
    <w:p w14:paraId="2ADB7745" w14:textId="5C42FF3D" w:rsidR="009017B0" w:rsidRPr="00E22636" w:rsidRDefault="009017B0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color w:val="000000" w:themeColor="text1"/>
          <w:lang w:val="en-CA" w:eastAsia="en-CA"/>
        </w:rPr>
        <w:t xml:space="preserve">Brock University </w:t>
      </w:r>
    </w:p>
    <w:p w14:paraId="407B4E75" w14:textId="099D3F80" w:rsidR="001916B8" w:rsidRPr="00E22636" w:rsidRDefault="00802B8D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color w:val="000000" w:themeColor="text1"/>
          <w:lang w:val="en-CA" w:eastAsia="en-CA"/>
        </w:rPr>
        <w:t>Correspondence</w:t>
      </w:r>
      <w:r w:rsidR="009017B0" w:rsidRPr="00E22636">
        <w:rPr>
          <w:rFonts w:eastAsia="Times New Roman"/>
          <w:b/>
          <w:color w:val="000000" w:themeColor="text1"/>
          <w:lang w:val="en-CA" w:eastAsia="en-CA"/>
        </w:rPr>
        <w:t>:</w:t>
      </w:r>
      <w:r w:rsidRPr="00E22636">
        <w:rPr>
          <w:rFonts w:eastAsia="Times New Roman"/>
          <w:b/>
          <w:color w:val="000000" w:themeColor="text1"/>
          <w:lang w:val="en-CA" w:eastAsia="en-CA"/>
        </w:rPr>
        <w:t xml:space="preserve"> </w:t>
      </w:r>
      <w:bookmarkStart w:id="0" w:name="_GoBack"/>
      <w:bookmarkEnd w:id="0"/>
      <w:r w:rsidRPr="00D3027F">
        <w:rPr>
          <w:rFonts w:eastAsia="Times New Roman"/>
          <w:noProof/>
          <w:color w:val="000000" w:themeColor="text1"/>
          <w:lang w:val="en-CA" w:eastAsia="en-CA"/>
        </w:rPr>
        <w:t>Dr.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Rosemary Condillac, Brock University, </w:t>
      </w:r>
      <w:r w:rsidR="009017B0" w:rsidRPr="00E22636">
        <w:rPr>
          <w:rFonts w:eastAsia="Times New Roman"/>
          <w:color w:val="000000" w:themeColor="text1"/>
          <w:lang w:val="en-CA" w:eastAsia="en-CA"/>
        </w:rPr>
        <w:t>rcondillac@brocku.ca</w:t>
      </w:r>
    </w:p>
    <w:p w14:paraId="5886D5A8" w14:textId="141698CA" w:rsidR="001B4213" w:rsidRPr="00E22636" w:rsidRDefault="00E959B3" w:rsidP="001B4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bCs/>
          <w:color w:val="000000" w:themeColor="text1"/>
          <w:lang w:val="en-CA" w:eastAsia="en-CA"/>
        </w:rPr>
      </w:pPr>
      <w:r w:rsidRPr="00E22636">
        <w:rPr>
          <w:rFonts w:eastAsia="Times New Roman"/>
          <w:b/>
          <w:bCs/>
          <w:color w:val="000000" w:themeColor="text1"/>
          <w:lang w:val="en-CA" w:eastAsia="en-CA"/>
        </w:rPr>
        <w:t>Objectives:</w:t>
      </w:r>
      <w:r w:rsidRPr="00E22636">
        <w:rPr>
          <w:rFonts w:eastAsia="Times New Roman"/>
          <w:color w:val="000000" w:themeColor="text1"/>
          <w:lang w:val="en-CA" w:eastAsia="en-CA"/>
        </w:rPr>
        <w:t> </w:t>
      </w:r>
      <w:r w:rsidR="00AF4EEC" w:rsidRPr="00E22636">
        <w:rPr>
          <w:rFonts w:eastAsia="Times New Roman"/>
          <w:bCs/>
          <w:color w:val="000000" w:themeColor="text1"/>
          <w:lang w:val="en-CA" w:eastAsia="en-CA"/>
        </w:rPr>
        <w:t>For over one hundred years, institutionalization of individuals with intellectual disability (ID) represented the model of care in Ontario (Martin &amp; Ashworth, 2010).</w:t>
      </w: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AF4EEC" w:rsidRPr="00E22636">
        <w:rPr>
          <w:rFonts w:eastAsia="Times New Roman"/>
          <w:bCs/>
          <w:color w:val="000000" w:themeColor="text1"/>
          <w:lang w:val="en-CA" w:eastAsia="en-CA"/>
        </w:rPr>
        <w:t>F</w:t>
      </w:r>
      <w:r w:rsidR="00AD00F8" w:rsidRPr="00E22636">
        <w:rPr>
          <w:rFonts w:eastAsia="Times New Roman"/>
          <w:bCs/>
          <w:color w:val="000000" w:themeColor="text1"/>
          <w:lang w:val="en-CA" w:eastAsia="en-CA"/>
        </w:rPr>
        <w:t>ormer residents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 received health services from physicians and medical staff who worked in the institutions (Phillips, Morrison, &amp; Davis). As a result of deinstitutionalization,</w:t>
      </w:r>
      <w:r w:rsidR="00AD00F8" w:rsidRPr="00E22636">
        <w:rPr>
          <w:rFonts w:eastAsia="Times New Roman"/>
          <w:bCs/>
          <w:color w:val="000000" w:themeColor="text1"/>
          <w:lang w:val="en-CA" w:eastAsia="en-CA"/>
        </w:rPr>
        <w:t xml:space="preserve"> health care responsibilities shifted from government departments to the community. 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 xml:space="preserve">Individuals with ID are at </w:t>
      </w: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risk of </w:t>
      </w:r>
      <w:r w:rsidR="00802B8D" w:rsidRPr="00E22636">
        <w:rPr>
          <w:rFonts w:eastAsia="Times New Roman"/>
          <w:bCs/>
          <w:color w:val="000000" w:themeColor="text1"/>
          <w:lang w:val="en-CA" w:eastAsia="en-CA"/>
        </w:rPr>
        <w:t>health</w:t>
      </w: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 complications 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 xml:space="preserve">and medical issues </w:t>
      </w:r>
      <w:r w:rsidR="00AF4EEC" w:rsidRPr="00E22636">
        <w:rPr>
          <w:rFonts w:eastAsia="Times New Roman"/>
          <w:bCs/>
          <w:color w:val="000000" w:themeColor="text1"/>
          <w:lang w:val="en-CA" w:eastAsia="en-CA"/>
        </w:rPr>
        <w:t>(Condillac, Griffiths, Frijters, &amp; Martin, 2012)</w:t>
      </w: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. 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>Furthermore,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290B12" w:rsidRPr="00E22636">
        <w:rPr>
          <w:rFonts w:eastAsia="Times New Roman"/>
          <w:bCs/>
          <w:color w:val="000000" w:themeColor="text1"/>
          <w:lang w:val="en-CA" w:eastAsia="en-CA"/>
        </w:rPr>
        <w:t xml:space="preserve">adults with 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>ID are often prescribed higher levels of psychotropic medication</w:t>
      </w:r>
      <w:r w:rsidR="00262F8D">
        <w:rPr>
          <w:rFonts w:eastAsia="Times New Roman"/>
          <w:bCs/>
          <w:color w:val="000000" w:themeColor="text1"/>
          <w:lang w:val="en-CA" w:eastAsia="en-CA"/>
        </w:rPr>
        <w:t xml:space="preserve">, resulting in increased risks 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>of polypharmacy</w:t>
      </w:r>
      <w:r w:rsidR="00262F8D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262F8D" w:rsidRPr="00E22636">
        <w:rPr>
          <w:rFonts w:eastAsia="Times New Roman"/>
          <w:bCs/>
          <w:color w:val="000000" w:themeColor="text1"/>
          <w:lang w:val="en-CA" w:eastAsia="en-CA"/>
        </w:rPr>
        <w:t>(Koch et al., 2015)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>. As such,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 xml:space="preserve"> medication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 xml:space="preserve">patterns </w:t>
      </w:r>
      <w:r w:rsidR="000F1CE7" w:rsidRPr="00E22636">
        <w:rPr>
          <w:rFonts w:eastAsia="Times New Roman"/>
          <w:bCs/>
          <w:color w:val="000000" w:themeColor="text1"/>
          <w:lang w:val="en-CA" w:eastAsia="en-CA"/>
        </w:rPr>
        <w:t xml:space="preserve">for this population should be monitored accurately across settings and time </w:t>
      </w:r>
    </w:p>
    <w:p w14:paraId="5565FF00" w14:textId="6AA62CA6" w:rsidR="00E959B3" w:rsidRPr="00E22636" w:rsidRDefault="000F1CE7" w:rsidP="000F1C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/>
          <w:bCs/>
          <w:color w:val="000000" w:themeColor="text1"/>
          <w:lang w:val="en-CA" w:eastAsia="en-CA"/>
        </w:rPr>
      </w:pPr>
      <w:r w:rsidRPr="00E22636">
        <w:rPr>
          <w:rFonts w:eastAsia="Times New Roman"/>
          <w:bCs/>
          <w:color w:val="000000" w:themeColor="text1"/>
          <w:lang w:val="en-CA" w:eastAsia="en-CA"/>
        </w:rPr>
        <w:t xml:space="preserve">An earlier Facilities Initiatives </w:t>
      </w:r>
      <w:r w:rsidR="00AC00D2" w:rsidRPr="00E22636">
        <w:rPr>
          <w:rFonts w:eastAsia="Times New Roman"/>
          <w:bCs/>
          <w:color w:val="000000" w:themeColor="text1"/>
          <w:lang w:val="en-CA" w:eastAsia="en-CA"/>
        </w:rPr>
        <w:t xml:space="preserve">(FI) </w:t>
      </w:r>
      <w:r w:rsidRPr="00E22636">
        <w:rPr>
          <w:rFonts w:eastAsia="Times New Roman"/>
          <w:bCs/>
          <w:color w:val="000000" w:themeColor="text1"/>
          <w:lang w:val="en-CA" w:eastAsia="en-CA"/>
        </w:rPr>
        <w:t>study conducted a longitudinal comparison of medications across two points in time (last assessment in the institution and first assessment in the community (Rahim, 2012). However, t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he measure used to </w:t>
      </w:r>
      <w:r w:rsidR="00802B8D" w:rsidRPr="00E22636">
        <w:rPr>
          <w:rFonts w:eastAsia="Times New Roman"/>
          <w:bCs/>
          <w:color w:val="000000" w:themeColor="text1"/>
          <w:lang w:val="en-CA" w:eastAsia="en-CA"/>
        </w:rPr>
        <w:t>record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 medication </w:t>
      </w:r>
      <w:r w:rsidR="00290B12" w:rsidRPr="00E22636">
        <w:rPr>
          <w:rFonts w:eastAsia="Times New Roman"/>
          <w:bCs/>
          <w:color w:val="000000" w:themeColor="text1"/>
          <w:lang w:val="en-CA" w:eastAsia="en-CA"/>
        </w:rPr>
        <w:t xml:space="preserve">(interRAI ID) 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only </w:t>
      </w:r>
      <w:r w:rsidR="000738AF" w:rsidRPr="00E22636">
        <w:rPr>
          <w:rFonts w:eastAsia="Times New Roman"/>
          <w:bCs/>
          <w:color w:val="000000" w:themeColor="text1"/>
          <w:lang w:val="en-CA" w:eastAsia="en-CA"/>
        </w:rPr>
        <w:t>documented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 medications that were administered within the last three days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 xml:space="preserve"> (</w:t>
      </w:r>
      <w:r w:rsidR="00290B12" w:rsidRPr="00E22636">
        <w:rPr>
          <w:rFonts w:eastAsia="Times New Roman"/>
          <w:bCs/>
          <w:color w:val="000000" w:themeColor="text1"/>
          <w:lang w:val="en-CA" w:eastAsia="en-CA"/>
        </w:rPr>
        <w:t xml:space="preserve">Martin &amp; Hirdes, Fries, &amp; Smith; 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>Rahim, 2012)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 xml:space="preserve">. 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>T</w:t>
      </w:r>
      <w:r w:rsidR="00450D1F" w:rsidRPr="00E22636">
        <w:rPr>
          <w:rFonts w:eastAsia="Times New Roman"/>
          <w:bCs/>
          <w:color w:val="000000" w:themeColor="text1"/>
          <w:lang w:val="en-CA" w:eastAsia="en-CA"/>
        </w:rPr>
        <w:t>he results from this measure may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 not </w:t>
      </w:r>
      <w:r w:rsidR="000738AF" w:rsidRPr="00E22636">
        <w:rPr>
          <w:rFonts w:eastAsia="Times New Roman"/>
          <w:bCs/>
          <w:color w:val="000000" w:themeColor="text1"/>
          <w:lang w:val="en-CA" w:eastAsia="en-CA"/>
        </w:rPr>
        <w:t xml:space="preserve">have </w:t>
      </w:r>
      <w:r w:rsidR="00764AB2" w:rsidRPr="00E22636">
        <w:rPr>
          <w:rFonts w:eastAsia="Times New Roman"/>
          <w:bCs/>
          <w:color w:val="000000" w:themeColor="text1"/>
          <w:lang w:val="en-CA" w:eastAsia="en-CA"/>
        </w:rPr>
        <w:t>reflect</w:t>
      </w:r>
      <w:r w:rsidR="000738AF" w:rsidRPr="00E22636">
        <w:rPr>
          <w:rFonts w:eastAsia="Times New Roman"/>
          <w:bCs/>
          <w:color w:val="000000" w:themeColor="text1"/>
          <w:lang w:val="en-CA" w:eastAsia="en-CA"/>
        </w:rPr>
        <w:t>ed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 all the medications administered for each participant. </w:t>
      </w:r>
      <w:r w:rsidR="00897A4B" w:rsidRPr="00E22636">
        <w:rPr>
          <w:rFonts w:eastAsia="Times New Roman"/>
          <w:color w:val="000000" w:themeColor="text1"/>
          <w:lang w:val="en-CA" w:eastAsia="en-CA"/>
        </w:rPr>
        <w:t xml:space="preserve">As such, 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>t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his study will </w:t>
      </w:r>
      <w:r w:rsidR="005B7036" w:rsidRPr="00E22636">
        <w:rPr>
          <w:rFonts w:eastAsia="Times New Roman"/>
          <w:bCs/>
          <w:color w:val="000000" w:themeColor="text1"/>
          <w:lang w:val="en-CA" w:eastAsia="en-CA"/>
        </w:rPr>
        <w:t xml:space="preserve">include 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>a</w:t>
      </w:r>
      <w:r w:rsidR="00897A4B" w:rsidRPr="00E22636">
        <w:rPr>
          <w:rFonts w:eastAsia="Times New Roman"/>
          <w:bCs/>
          <w:color w:val="000000" w:themeColor="text1"/>
          <w:lang w:val="en-CA" w:eastAsia="en-CA"/>
        </w:rPr>
        <w:t xml:space="preserve">n examination of the medication administration records (MARs) from the institutions 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>to</w:t>
      </w:r>
      <w:r w:rsidR="005B7036" w:rsidRPr="00E22636">
        <w:rPr>
          <w:rFonts w:eastAsia="Times New Roman"/>
          <w:bCs/>
          <w:color w:val="000000" w:themeColor="text1"/>
          <w:lang w:val="en-CA" w:eastAsia="en-CA"/>
        </w:rPr>
        <w:t xml:space="preserve"> facilitate a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 more accurate compar</w:t>
      </w:r>
      <w:r w:rsidR="005B7036" w:rsidRPr="00E22636">
        <w:rPr>
          <w:rFonts w:eastAsia="Times New Roman"/>
          <w:bCs/>
          <w:color w:val="000000" w:themeColor="text1"/>
          <w:lang w:val="en-CA" w:eastAsia="en-CA"/>
        </w:rPr>
        <w:t>ison of</w:t>
      </w:r>
      <w:r w:rsidR="00E959B3" w:rsidRPr="00E22636">
        <w:rPr>
          <w:rFonts w:eastAsia="Times New Roman"/>
          <w:bCs/>
          <w:color w:val="000000" w:themeColor="text1"/>
          <w:lang w:val="en-CA" w:eastAsia="en-CA"/>
        </w:rPr>
        <w:t xml:space="preserve"> medications administered to the participants across settings and over time.</w:t>
      </w:r>
      <w:r w:rsidR="001B2914"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Pr="00E22636">
        <w:rPr>
          <w:rFonts w:eastAsia="Times New Roman"/>
          <w:bCs/>
          <w:color w:val="000000" w:themeColor="text1"/>
          <w:lang w:val="en-CA" w:eastAsia="en-CA"/>
        </w:rPr>
        <w:t>This study will also include data from a third point in time</w:t>
      </w:r>
      <w:r w:rsidR="00AC00D2" w:rsidRPr="00E22636">
        <w:rPr>
          <w:rFonts w:eastAsia="Times New Roman"/>
          <w:bCs/>
          <w:color w:val="000000" w:themeColor="text1"/>
          <w:lang w:val="en-CA" w:eastAsia="en-CA"/>
        </w:rPr>
        <w:t xml:space="preserve"> that was previously collected for </w:t>
      </w:r>
      <w:r w:rsidR="008A2026">
        <w:rPr>
          <w:rFonts w:eastAsia="Times New Roman"/>
          <w:bCs/>
          <w:color w:val="000000" w:themeColor="text1"/>
          <w:lang w:val="en-CA" w:eastAsia="en-CA"/>
        </w:rPr>
        <w:t>the</w:t>
      </w:r>
      <w:r w:rsidR="00AC00D2" w:rsidRPr="00E22636">
        <w:rPr>
          <w:rFonts w:eastAsia="Times New Roman"/>
          <w:bCs/>
          <w:color w:val="000000" w:themeColor="text1"/>
          <w:lang w:val="en-CA" w:eastAsia="en-CA"/>
        </w:rPr>
        <w:t xml:space="preserve"> FI study</w:t>
      </w:r>
      <w:r w:rsidR="00FF06D6" w:rsidRPr="00E22636">
        <w:rPr>
          <w:rFonts w:eastAsia="Times New Roman"/>
          <w:bCs/>
          <w:color w:val="000000" w:themeColor="text1"/>
          <w:lang w:val="en-CA" w:eastAsia="en-CA"/>
        </w:rPr>
        <w:t xml:space="preserve"> </w:t>
      </w:r>
      <w:r w:rsidR="008A2026">
        <w:rPr>
          <w:rFonts w:eastAsia="Times New Roman"/>
          <w:bCs/>
          <w:color w:val="000000" w:themeColor="text1"/>
          <w:lang w:val="en-CA" w:eastAsia="en-CA"/>
        </w:rPr>
        <w:t xml:space="preserve">conducted by Condillac et al. (2012) </w:t>
      </w:r>
      <w:r w:rsidR="00FF06D6" w:rsidRPr="00E22636">
        <w:rPr>
          <w:rFonts w:eastAsia="Times New Roman"/>
          <w:bCs/>
          <w:color w:val="000000" w:themeColor="text1"/>
          <w:lang w:val="en-CA" w:eastAsia="en-CA"/>
        </w:rPr>
        <w:t>(</w:t>
      </w:r>
      <w:r w:rsidRPr="00E22636">
        <w:rPr>
          <w:rFonts w:eastAsia="Times New Roman"/>
          <w:bCs/>
          <w:color w:val="000000" w:themeColor="text1"/>
          <w:lang w:val="en-CA" w:eastAsia="en-CA"/>
        </w:rPr>
        <w:t>second assessment in the community</w:t>
      </w:r>
      <w:r w:rsidR="00FF06D6" w:rsidRPr="00E22636">
        <w:rPr>
          <w:rFonts w:eastAsia="Times New Roman"/>
          <w:bCs/>
          <w:color w:val="000000" w:themeColor="text1"/>
          <w:lang w:val="en-CA" w:eastAsia="en-CA"/>
        </w:rPr>
        <w:t>)</w:t>
      </w:r>
      <w:r w:rsidR="00AC00D2" w:rsidRPr="00E22636">
        <w:rPr>
          <w:rFonts w:eastAsia="Times New Roman"/>
          <w:bCs/>
          <w:color w:val="000000" w:themeColor="text1"/>
          <w:lang w:val="en-CA" w:eastAsia="en-CA"/>
        </w:rPr>
        <w:t>.</w:t>
      </w:r>
      <w:r w:rsidRPr="00E22636">
        <w:rPr>
          <w:rFonts w:eastAsia="Times New Roman"/>
          <w:bCs/>
          <w:color w:val="000000" w:themeColor="text1"/>
          <w:lang w:val="en-CA" w:eastAsia="en-CA"/>
        </w:rPr>
        <w:tab/>
      </w:r>
    </w:p>
    <w:p w14:paraId="44F47772" w14:textId="0ED8A8AA" w:rsidR="00E959B3" w:rsidRPr="00E22636" w:rsidRDefault="00E959B3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bCs/>
          <w:color w:val="000000" w:themeColor="text1"/>
          <w:lang w:val="en-CA" w:eastAsia="en-CA"/>
        </w:rPr>
        <w:t>Method: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 Participants </w:t>
      </w:r>
      <w:r w:rsidR="004C35EA" w:rsidRPr="00E22636">
        <w:rPr>
          <w:rFonts w:eastAsia="Times New Roman"/>
          <w:color w:val="000000" w:themeColor="text1"/>
          <w:lang w:val="en-CA" w:eastAsia="en-CA"/>
        </w:rPr>
        <w:t>include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adults with ID that transitioned from Ontario facilities from 2004 to 2009. </w:t>
      </w:r>
      <w:r w:rsidR="00897A4B" w:rsidRPr="00E22636">
        <w:rPr>
          <w:rFonts w:eastAsia="Times New Roman"/>
          <w:color w:val="000000" w:themeColor="text1"/>
          <w:lang w:val="en-CA" w:eastAsia="en-CA"/>
        </w:rPr>
        <w:t xml:space="preserve">The MARs from the institutions will be examined and analyzed to identify patterns across settings and over time. </w:t>
      </w:r>
      <w:r w:rsidR="000F1CE7" w:rsidRPr="00E22636">
        <w:rPr>
          <w:rFonts w:eastAsia="Times New Roman"/>
          <w:color w:val="000000" w:themeColor="text1"/>
          <w:lang w:val="en-CA" w:eastAsia="en-CA"/>
        </w:rPr>
        <w:t>T</w:t>
      </w:r>
      <w:r w:rsidR="00897A4B" w:rsidRPr="00E22636">
        <w:rPr>
          <w:rFonts w:eastAsia="Times New Roman"/>
          <w:color w:val="000000" w:themeColor="text1"/>
          <w:lang w:val="en-CA" w:eastAsia="en-CA"/>
        </w:rPr>
        <w:t>he number, classes and combinations of medication usage will be compared in order to understand the medication prescription patterns across community and institutional settings in Ontario</w:t>
      </w:r>
      <w:r w:rsidR="001B4213" w:rsidRPr="00E22636">
        <w:rPr>
          <w:rFonts w:eastAsia="Times New Roman"/>
          <w:color w:val="000000" w:themeColor="text1"/>
          <w:lang w:val="en-CA" w:eastAsia="en-CA"/>
        </w:rPr>
        <w:t xml:space="preserve"> and over time.</w:t>
      </w:r>
      <w:r w:rsidR="000F1CE7" w:rsidRPr="00E22636">
        <w:rPr>
          <w:rFonts w:eastAsia="Times New Roman"/>
          <w:color w:val="000000" w:themeColor="text1"/>
          <w:lang w:val="en-CA" w:eastAsia="en-CA"/>
        </w:rPr>
        <w:t xml:space="preserve"> A linear regression will be conducted to examine </w:t>
      </w:r>
      <w:r w:rsidR="00067454" w:rsidRPr="00E22636">
        <w:rPr>
          <w:rFonts w:eastAsia="Times New Roman"/>
          <w:color w:val="000000" w:themeColor="text1"/>
          <w:lang w:val="en-CA" w:eastAsia="en-CA"/>
        </w:rPr>
        <w:t>the relationship between psychotropic medication and various factors, including age, problem behaviour, adaptive functioning, health status, and mental health status.</w:t>
      </w:r>
    </w:p>
    <w:p w14:paraId="4D90848E" w14:textId="7BD34F5A" w:rsidR="00E959B3" w:rsidRPr="00E22636" w:rsidRDefault="00E959B3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bCs/>
          <w:color w:val="000000" w:themeColor="text1"/>
          <w:lang w:val="en-CA" w:eastAsia="en-CA"/>
        </w:rPr>
        <w:t>Results:</w:t>
      </w:r>
      <w:r w:rsidRPr="00E22636">
        <w:rPr>
          <w:rFonts w:eastAsia="Times New Roman"/>
          <w:color w:val="000000" w:themeColor="text1"/>
          <w:lang w:val="en-CA" w:eastAsia="en-CA"/>
        </w:rPr>
        <w:t> </w:t>
      </w:r>
      <w:r w:rsidR="00897A4B" w:rsidRPr="00E22636">
        <w:rPr>
          <w:rFonts w:eastAsia="Times New Roman"/>
          <w:color w:val="000000" w:themeColor="text1"/>
          <w:lang w:val="en-CA" w:eastAsia="en-CA"/>
        </w:rPr>
        <w:t>Since the interRAI ID only recorded medications that were administered within the last three days, the authors hypothesize that the numbers and types of medications were underestimated in the institutions</w:t>
      </w:r>
      <w:r w:rsidR="00290B12" w:rsidRPr="00E22636">
        <w:rPr>
          <w:rFonts w:eastAsia="Times New Roman"/>
          <w:color w:val="000000" w:themeColor="text1"/>
          <w:lang w:val="en-CA" w:eastAsia="en-CA"/>
        </w:rPr>
        <w:t xml:space="preserve"> and that a larger amount of polypharmacy may be evident. As such, there may </w:t>
      </w:r>
      <w:r w:rsidRPr="00E22636">
        <w:t xml:space="preserve">be </w:t>
      </w:r>
      <w:r w:rsidR="00EE3383" w:rsidRPr="00E22636">
        <w:t>inconsistencies</w:t>
      </w:r>
      <w:r w:rsidRPr="00E22636">
        <w:t xml:space="preserve"> between the medications</w:t>
      </w:r>
      <w:r w:rsidR="000738AF" w:rsidRPr="00E22636">
        <w:t xml:space="preserve"> when comparing the MARs</w:t>
      </w:r>
      <w:r w:rsidR="00290B12" w:rsidRPr="00E22636">
        <w:t>. The authors also hypothesize that distinct patterns of medication usage may change across settings and over</w:t>
      </w:r>
      <w:r w:rsidR="001B4213" w:rsidRPr="00E22636">
        <w:t xml:space="preserve"> </w:t>
      </w:r>
      <w:r w:rsidR="00290B12" w:rsidRPr="00E22636">
        <w:t xml:space="preserve">time for the participants. </w:t>
      </w:r>
    </w:p>
    <w:p w14:paraId="1FF42B04" w14:textId="41F0308F" w:rsidR="00D8318E" w:rsidRPr="00E22636" w:rsidRDefault="00E959B3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b/>
          <w:bCs/>
          <w:color w:val="000000" w:themeColor="text1"/>
          <w:lang w:val="en-CA" w:eastAsia="en-CA"/>
        </w:rPr>
        <w:t>Discussion/Conclusions: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 Individuals with ID are more likely to </w:t>
      </w:r>
      <w:r w:rsidR="00EE3383" w:rsidRPr="00E22636">
        <w:rPr>
          <w:rFonts w:eastAsia="Times New Roman"/>
          <w:color w:val="000000" w:themeColor="text1"/>
          <w:lang w:val="en-CA" w:eastAsia="en-CA"/>
        </w:rPr>
        <w:t xml:space="preserve">experience </w:t>
      </w:r>
      <w:r w:rsidRPr="00E22636">
        <w:rPr>
          <w:rFonts w:eastAsia="Times New Roman"/>
          <w:color w:val="000000" w:themeColor="text1"/>
          <w:lang w:val="en-CA" w:eastAsia="en-CA"/>
        </w:rPr>
        <w:t>medical problems</w:t>
      </w:r>
      <w:r w:rsidR="001B4213" w:rsidRPr="00E22636">
        <w:rPr>
          <w:rFonts w:eastAsia="Times New Roman"/>
          <w:color w:val="000000" w:themeColor="text1"/>
          <w:lang w:val="en-CA" w:eastAsia="en-CA"/>
        </w:rPr>
        <w:t xml:space="preserve"> as well as</w:t>
      </w:r>
      <w:r w:rsidR="00290B12" w:rsidRPr="00E22636">
        <w:rPr>
          <w:rFonts w:eastAsia="Times New Roman"/>
          <w:color w:val="000000" w:themeColor="text1"/>
          <w:lang w:val="en-CA" w:eastAsia="en-CA"/>
        </w:rPr>
        <w:t xml:space="preserve"> increased level</w:t>
      </w:r>
      <w:r w:rsidR="001B4213" w:rsidRPr="00E22636">
        <w:rPr>
          <w:rFonts w:eastAsia="Times New Roman"/>
          <w:color w:val="000000" w:themeColor="text1"/>
          <w:lang w:val="en-CA" w:eastAsia="en-CA"/>
        </w:rPr>
        <w:t>s</w:t>
      </w:r>
      <w:r w:rsidR="00290B12" w:rsidRPr="00E22636">
        <w:rPr>
          <w:rFonts w:eastAsia="Times New Roman"/>
          <w:color w:val="000000" w:themeColor="text1"/>
          <w:lang w:val="en-CA" w:eastAsia="en-CA"/>
        </w:rPr>
        <w:t xml:space="preserve"> of psychotropic medication prescriptions (Koch et al., 2015). 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Given the vulnerability of this population, it is critical that </w:t>
      </w:r>
      <w:bookmarkStart w:id="1" w:name="_Hlk503805175"/>
      <w:r w:rsidRPr="00E22636">
        <w:rPr>
          <w:rFonts w:eastAsia="Times New Roman"/>
          <w:color w:val="000000" w:themeColor="text1"/>
          <w:lang w:val="en-CA" w:eastAsia="en-CA"/>
        </w:rPr>
        <w:t xml:space="preserve">we </w:t>
      </w:r>
      <w:bookmarkEnd w:id="1"/>
      <w:r w:rsidR="00290B12" w:rsidRPr="00E22636">
        <w:rPr>
          <w:rFonts w:eastAsia="Times New Roman"/>
          <w:color w:val="000000" w:themeColor="text1"/>
          <w:lang w:val="en-CA" w:eastAsia="en-CA"/>
        </w:rPr>
        <w:t>accurately assess the medication patterns of individuals with ID.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</w:t>
      </w:r>
      <w:r w:rsidR="00EE3383" w:rsidRPr="00E22636">
        <w:rPr>
          <w:rFonts w:eastAsia="Times New Roman"/>
          <w:color w:val="000000" w:themeColor="text1"/>
          <w:lang w:val="en-CA" w:eastAsia="en-CA"/>
        </w:rPr>
        <w:t xml:space="preserve">Results will </w:t>
      </w:r>
      <w:r w:rsidR="00577DEA" w:rsidRPr="00E22636">
        <w:rPr>
          <w:rFonts w:eastAsia="Times New Roman"/>
          <w:color w:val="000000" w:themeColor="text1"/>
          <w:lang w:val="en-CA" w:eastAsia="en-CA"/>
        </w:rPr>
        <w:t>increase understanding of</w:t>
      </w:r>
      <w:r w:rsidRPr="00E22636">
        <w:rPr>
          <w:rFonts w:eastAsia="Times New Roman"/>
          <w:color w:val="000000" w:themeColor="text1"/>
          <w:lang w:val="en-CA" w:eastAsia="en-CA"/>
        </w:rPr>
        <w:t xml:space="preserve"> how to support individuals with ID </w:t>
      </w:r>
      <w:r w:rsidRPr="00E22636">
        <w:rPr>
          <w:rFonts w:eastAsia="Times New Roman"/>
          <w:color w:val="000000" w:themeColor="text1"/>
          <w:lang w:val="en-CA" w:eastAsia="en-CA"/>
        </w:rPr>
        <w:lastRenderedPageBreak/>
        <w:t>in the current health care system</w:t>
      </w:r>
      <w:r w:rsidR="00291220" w:rsidRPr="00E22636">
        <w:rPr>
          <w:rFonts w:eastAsia="Times New Roman"/>
          <w:color w:val="000000" w:themeColor="text1"/>
          <w:lang w:val="en-CA" w:eastAsia="en-CA"/>
        </w:rPr>
        <w:t xml:space="preserve"> and may inform the usage of psychotropic medication in this population. </w:t>
      </w:r>
    </w:p>
    <w:p w14:paraId="6B99B8C2" w14:textId="0351E836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8460B4C" w14:textId="322C5ED8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6B3F552A" w14:textId="77B31E25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2D98753E" w14:textId="4CD6927B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5EBE530C" w14:textId="4684CF72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0172B51" w14:textId="43E5B9A3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5F0F7BC1" w14:textId="700B7746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02EBA24F" w14:textId="24BE5724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521BA87" w14:textId="69FD8B3B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ED34D7F" w14:textId="4B50CCAA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5C87331" w14:textId="25F80C0C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7F2FBE8" w14:textId="7FB6BB0F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20332F1A" w14:textId="66A2CDA3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0EB7D437" w14:textId="3D54E7F8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D53F273" w14:textId="1889326C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62600A76" w14:textId="197E37AC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1A2A7D0E" w14:textId="6B0C4512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50C2AC37" w14:textId="57558A61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07AA8142" w14:textId="332D8889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74DBB526" w14:textId="5E99228E" w:rsidR="00067454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3CF968D" w14:textId="77777777" w:rsidR="008A2026" w:rsidRPr="00E22636" w:rsidRDefault="008A2026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388B1848" w14:textId="77777777" w:rsidR="00067454" w:rsidRPr="00E22636" w:rsidRDefault="00067454" w:rsidP="00AC68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465F2F95" w14:textId="47BF7A87" w:rsidR="00DF66A6" w:rsidRPr="00E22636" w:rsidRDefault="00DF66A6" w:rsidP="00E22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567" w:hanging="567"/>
        <w:jc w:val="center"/>
        <w:rPr>
          <w:rFonts w:eastAsia="Times New Roman"/>
          <w:color w:val="000000" w:themeColor="text1"/>
          <w:lang w:val="en-CA" w:eastAsia="en-CA"/>
        </w:rPr>
      </w:pPr>
      <w:r w:rsidRPr="00E22636">
        <w:rPr>
          <w:rFonts w:eastAsia="Times New Roman"/>
          <w:color w:val="000000" w:themeColor="text1"/>
          <w:lang w:val="en-CA" w:eastAsia="en-CA"/>
        </w:rPr>
        <w:t>References</w:t>
      </w:r>
    </w:p>
    <w:p w14:paraId="4CB13893" w14:textId="77777777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lastRenderedPageBreak/>
        <w:t xml:space="preserve">Condillac, R., Griffiths, D., Frijters, J., &amp; Martin, L. (2012). </w:t>
      </w:r>
      <w:r w:rsidRPr="00E22636">
        <w:rPr>
          <w:rFonts w:ascii="Arial" w:hAnsi="Arial" w:cs="Arial"/>
          <w:i/>
          <w:iCs/>
          <w:sz w:val="22"/>
          <w:szCs w:val="22"/>
        </w:rPr>
        <w:t>Final report of quasi-longitudinal study</w:t>
      </w:r>
      <w:r w:rsidRPr="00E22636">
        <w:rPr>
          <w:rFonts w:ascii="Arial" w:hAnsi="Arial" w:cs="Arial"/>
          <w:sz w:val="22"/>
          <w:szCs w:val="22"/>
        </w:rPr>
        <w:t xml:space="preserve">. Brock University, St. Catharines. </w:t>
      </w:r>
    </w:p>
    <w:p w14:paraId="0B6A29BD" w14:textId="77777777" w:rsidR="00DF66A6" w:rsidRPr="00E22636" w:rsidRDefault="00DF66A6" w:rsidP="00E22636">
      <w:pPr>
        <w:pStyle w:val="Default"/>
        <w:rPr>
          <w:rFonts w:ascii="Arial" w:hAnsi="Arial" w:cs="Arial"/>
          <w:sz w:val="22"/>
          <w:szCs w:val="22"/>
        </w:rPr>
      </w:pPr>
    </w:p>
    <w:p w14:paraId="02CFE7D8" w14:textId="73CC0249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>Cox, A. (2010</w:t>
      </w:r>
      <w:r w:rsidRPr="00E22636">
        <w:rPr>
          <w:rFonts w:ascii="Arial" w:hAnsi="Arial" w:cs="Arial"/>
          <w:i/>
          <w:iCs/>
          <w:sz w:val="22"/>
          <w:szCs w:val="22"/>
        </w:rPr>
        <w:t xml:space="preserve">). Predictors of primary health care utilization by former residents of institutions in Ontario </w:t>
      </w:r>
      <w:r w:rsidRPr="00E22636">
        <w:rPr>
          <w:rFonts w:ascii="Arial" w:hAnsi="Arial" w:cs="Arial"/>
          <w:sz w:val="22"/>
          <w:szCs w:val="22"/>
        </w:rPr>
        <w:t>(Unpublished master dissertation). Brock University, St. Catharines.</w:t>
      </w:r>
    </w:p>
    <w:p w14:paraId="067B9475" w14:textId="77777777" w:rsidR="001B4213" w:rsidRPr="00E22636" w:rsidRDefault="001B4213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</w:p>
    <w:p w14:paraId="7480A660" w14:textId="338B3737" w:rsidR="001B4213" w:rsidRPr="00E22636" w:rsidRDefault="001B4213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 xml:space="preserve">Koch, A., Vogel, A., Becker, T., Salize, H. J., Voss, E., Werner, A., Arnold, K., &amp; Shutzwohl, M. (2015). Proxy and self-reported quality of life in adults with intellectual disabilities: Impact of psychiatric symptoms, problem behaviour, psychotropic medication and unmet needs. </w:t>
      </w:r>
      <w:r w:rsidRPr="00E22636">
        <w:rPr>
          <w:rFonts w:ascii="Arial" w:hAnsi="Arial" w:cs="Arial"/>
          <w:i/>
          <w:iCs/>
          <w:sz w:val="22"/>
          <w:szCs w:val="22"/>
        </w:rPr>
        <w:t>Research in Developmental Disabilities, 45</w:t>
      </w:r>
      <w:r w:rsidRPr="00E22636">
        <w:rPr>
          <w:rFonts w:ascii="Arial" w:hAnsi="Arial" w:cs="Arial"/>
          <w:sz w:val="22"/>
          <w:szCs w:val="22"/>
        </w:rPr>
        <w:t xml:space="preserve">(46), 136-146. </w:t>
      </w:r>
    </w:p>
    <w:p w14:paraId="046A591D" w14:textId="77777777" w:rsidR="00802B8D" w:rsidRPr="00E22636" w:rsidRDefault="00802B8D" w:rsidP="00E22636">
      <w:pPr>
        <w:pStyle w:val="Default"/>
        <w:rPr>
          <w:rFonts w:ascii="Arial" w:hAnsi="Arial" w:cs="Arial"/>
          <w:sz w:val="22"/>
          <w:szCs w:val="22"/>
        </w:rPr>
      </w:pPr>
    </w:p>
    <w:p w14:paraId="23621272" w14:textId="59724AD0" w:rsidR="00802B8D" w:rsidRPr="00E22636" w:rsidRDefault="00802B8D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 xml:space="preserve">Martin, L., &amp; Ashworth, M. (2010). Deinstitutionalization in Ontario, Canada: Understanding who moved when. </w:t>
      </w:r>
      <w:r w:rsidRPr="00E22636">
        <w:rPr>
          <w:rFonts w:ascii="Arial" w:hAnsi="Arial" w:cs="Arial"/>
          <w:i/>
          <w:iCs/>
          <w:sz w:val="22"/>
          <w:szCs w:val="22"/>
        </w:rPr>
        <w:t>Journal of Policy and Practice in Intellectual Disabilities, 7</w:t>
      </w:r>
      <w:r w:rsidRPr="00E22636">
        <w:rPr>
          <w:rFonts w:ascii="Arial" w:hAnsi="Arial" w:cs="Arial"/>
          <w:sz w:val="22"/>
          <w:szCs w:val="22"/>
        </w:rPr>
        <w:t>(3), 167-176.</w:t>
      </w:r>
    </w:p>
    <w:p w14:paraId="34AB795E" w14:textId="77777777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</w:p>
    <w:p w14:paraId="315BCF56" w14:textId="08F5D16A" w:rsidR="00DF66A6" w:rsidRPr="00E22636" w:rsidRDefault="00DF66A6" w:rsidP="00E22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567" w:hanging="567"/>
        <w:rPr>
          <w:color w:val="060606"/>
          <w:lang w:val="en-CA"/>
        </w:rPr>
      </w:pPr>
      <w:r w:rsidRPr="00E22636">
        <w:rPr>
          <w:color w:val="060606"/>
          <w:lang w:val="en-CA"/>
        </w:rPr>
        <w:t xml:space="preserve">Martin, L., Hirdes, J., Fries, B., &amp; Smith, T.F. (2007). Development and psychometric properties of an assessment for persons with intellectual disability: The interRAI ID. </w:t>
      </w:r>
      <w:r w:rsidRPr="00E22636">
        <w:rPr>
          <w:i/>
          <w:color w:val="060606"/>
          <w:lang w:val="en-CA"/>
        </w:rPr>
        <w:t>Journal of Policy and Practice in Intellectual Disabilities, 4</w:t>
      </w:r>
      <w:r w:rsidRPr="00E22636">
        <w:rPr>
          <w:color w:val="060606"/>
          <w:lang w:val="en-CA"/>
        </w:rPr>
        <w:t xml:space="preserve">, 23-29. </w:t>
      </w:r>
    </w:p>
    <w:p w14:paraId="4B3747AF" w14:textId="77777777" w:rsidR="00767C66" w:rsidRPr="00E22636" w:rsidRDefault="00767C66" w:rsidP="00E22636">
      <w:pPr>
        <w:spacing w:line="240" w:lineRule="auto"/>
        <w:ind w:left="567" w:hanging="567"/>
      </w:pPr>
    </w:p>
    <w:p w14:paraId="596F81EF" w14:textId="22C5DB45" w:rsidR="00767C66" w:rsidRPr="00E22636" w:rsidRDefault="00767C66" w:rsidP="00E22636">
      <w:pPr>
        <w:spacing w:line="240" w:lineRule="auto"/>
        <w:ind w:left="567" w:hanging="567"/>
      </w:pPr>
      <w:r w:rsidRPr="00E22636">
        <w:t xml:space="preserve">Phillips A., Morrison, J., &amp; Davis, R. W. (2004). General practitioners’ educational needs in intellectual disability health. </w:t>
      </w:r>
      <w:r w:rsidRPr="00E22636">
        <w:rPr>
          <w:i/>
          <w:iCs/>
        </w:rPr>
        <w:t>Journal of Intellectual Disability Research, 48</w:t>
      </w:r>
      <w:r w:rsidRPr="00E22636">
        <w:t>, 142-149.</w:t>
      </w:r>
    </w:p>
    <w:p w14:paraId="2A2DD4F5" w14:textId="77777777" w:rsidR="00DF66A6" w:rsidRPr="00E22636" w:rsidRDefault="00DF66A6" w:rsidP="00E22636">
      <w:pPr>
        <w:pStyle w:val="Default"/>
        <w:rPr>
          <w:rFonts w:ascii="Arial" w:hAnsi="Arial" w:cs="Arial"/>
          <w:sz w:val="22"/>
          <w:szCs w:val="22"/>
        </w:rPr>
      </w:pPr>
    </w:p>
    <w:p w14:paraId="3B4F961E" w14:textId="77777777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E22636">
        <w:rPr>
          <w:rFonts w:ascii="Arial" w:hAnsi="Arial" w:cs="Arial"/>
          <w:sz w:val="22"/>
          <w:szCs w:val="22"/>
        </w:rPr>
        <w:t xml:space="preserve">Rahim, N. A. (2012). </w:t>
      </w:r>
      <w:r w:rsidRPr="00E22636">
        <w:rPr>
          <w:rFonts w:ascii="Arial" w:hAnsi="Arial" w:cs="Arial"/>
          <w:i/>
          <w:sz w:val="22"/>
          <w:szCs w:val="22"/>
        </w:rPr>
        <w:t xml:space="preserve">Description of psychotropic medication use in institution and community settings in Ontario </w:t>
      </w:r>
      <w:r w:rsidRPr="00E22636">
        <w:rPr>
          <w:rFonts w:ascii="Arial" w:hAnsi="Arial" w:cs="Arial"/>
          <w:sz w:val="22"/>
          <w:szCs w:val="22"/>
        </w:rPr>
        <w:t xml:space="preserve">(Unpublished master dissertation). Brock University, St. Catharines. </w:t>
      </w:r>
    </w:p>
    <w:p w14:paraId="773ED1F0" w14:textId="77777777" w:rsidR="00DF66A6" w:rsidRPr="00E22636" w:rsidRDefault="00DF66A6" w:rsidP="00E22636">
      <w:pPr>
        <w:pStyle w:val="Default"/>
        <w:ind w:left="567" w:hanging="567"/>
        <w:rPr>
          <w:rFonts w:ascii="Arial" w:hAnsi="Arial" w:cs="Arial"/>
          <w:sz w:val="22"/>
          <w:szCs w:val="22"/>
        </w:rPr>
      </w:pPr>
    </w:p>
    <w:p w14:paraId="657EA62A" w14:textId="77777777" w:rsidR="00DF66A6" w:rsidRPr="001B4213" w:rsidRDefault="00DF66A6" w:rsidP="00191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CA" w:eastAsia="en-CA"/>
        </w:rPr>
      </w:pPr>
    </w:p>
    <w:p w14:paraId="46B9745F" w14:textId="77777777" w:rsidR="001916B8" w:rsidRPr="001B4213" w:rsidRDefault="001916B8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lang w:val="en-CA" w:eastAsia="en-CA"/>
        </w:rPr>
      </w:pPr>
    </w:p>
    <w:p w14:paraId="53B2358E" w14:textId="77777777" w:rsidR="001916B8" w:rsidRPr="001B4213" w:rsidRDefault="001916B8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lang w:val="en-CA" w:eastAsia="en-CA"/>
        </w:rPr>
      </w:pPr>
    </w:p>
    <w:p w14:paraId="76BD68A4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5B645689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3358A275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6A5D306D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1417C235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6E82215A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11465915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52D436F2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324CC439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46107E2C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01C5320F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051E1549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6E234EF6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5B99221A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1CBE1BFC" w14:textId="77777777" w:rsidR="003F0EDD" w:rsidRDefault="003F0EDD" w:rsidP="00FB2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4A4A4A"/>
          <w:sz w:val="24"/>
          <w:szCs w:val="24"/>
          <w:lang w:val="en-CA" w:eastAsia="en-CA"/>
        </w:rPr>
      </w:pPr>
    </w:p>
    <w:p w14:paraId="44445289" w14:textId="77777777" w:rsidR="00F54AC1" w:rsidRDefault="00F54AC1"/>
    <w:sectPr w:rsidR="00F54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F1E3" w14:textId="77777777" w:rsidR="001D1CD0" w:rsidRDefault="001D1CD0" w:rsidP="00D8318E">
      <w:pPr>
        <w:spacing w:line="240" w:lineRule="auto"/>
      </w:pPr>
      <w:r>
        <w:separator/>
      </w:r>
    </w:p>
  </w:endnote>
  <w:endnote w:type="continuationSeparator" w:id="0">
    <w:p w14:paraId="340FA23F" w14:textId="77777777" w:rsidR="001D1CD0" w:rsidRDefault="001D1CD0" w:rsidP="00D83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5F4C6" w14:textId="77777777" w:rsidR="001D1CD0" w:rsidRDefault="001D1CD0" w:rsidP="00D8318E">
      <w:pPr>
        <w:spacing w:line="240" w:lineRule="auto"/>
      </w:pPr>
      <w:r>
        <w:separator/>
      </w:r>
    </w:p>
  </w:footnote>
  <w:footnote w:type="continuationSeparator" w:id="0">
    <w:p w14:paraId="3FE3254F" w14:textId="77777777" w:rsidR="001D1CD0" w:rsidRDefault="001D1CD0" w:rsidP="00D831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1EE9"/>
    <w:multiLevelType w:val="hybridMultilevel"/>
    <w:tmpl w:val="56EAE7A8"/>
    <w:lvl w:ilvl="0" w:tplc="2A4AE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01CC"/>
    <w:multiLevelType w:val="multilevel"/>
    <w:tmpl w:val="4CCC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ysTA1tDS0MLCwNDdX0lEKTi0uzszPAykwNK4FAADj8IMtAAAA"/>
  </w:docVars>
  <w:rsids>
    <w:rsidRoot w:val="00FB2FE0"/>
    <w:rsid w:val="00067454"/>
    <w:rsid w:val="000738AF"/>
    <w:rsid w:val="0009125C"/>
    <w:rsid w:val="000E619B"/>
    <w:rsid w:val="000F1CE7"/>
    <w:rsid w:val="0010023F"/>
    <w:rsid w:val="001916B8"/>
    <w:rsid w:val="001B2914"/>
    <w:rsid w:val="001B4213"/>
    <w:rsid w:val="001B61D1"/>
    <w:rsid w:val="001D1CD0"/>
    <w:rsid w:val="001E1867"/>
    <w:rsid w:val="001E74AF"/>
    <w:rsid w:val="00262F8D"/>
    <w:rsid w:val="00290B12"/>
    <w:rsid w:val="00291220"/>
    <w:rsid w:val="0032062C"/>
    <w:rsid w:val="00331EC7"/>
    <w:rsid w:val="0033528C"/>
    <w:rsid w:val="00337014"/>
    <w:rsid w:val="00380301"/>
    <w:rsid w:val="003A1BF1"/>
    <w:rsid w:val="003A7AE8"/>
    <w:rsid w:val="003F0EDD"/>
    <w:rsid w:val="003F4A60"/>
    <w:rsid w:val="004437C1"/>
    <w:rsid w:val="00450D1F"/>
    <w:rsid w:val="00452C7A"/>
    <w:rsid w:val="0048430C"/>
    <w:rsid w:val="0049320B"/>
    <w:rsid w:val="004C35EA"/>
    <w:rsid w:val="005600D9"/>
    <w:rsid w:val="0056429E"/>
    <w:rsid w:val="00577DEA"/>
    <w:rsid w:val="005B7036"/>
    <w:rsid w:val="005E25A3"/>
    <w:rsid w:val="00674C78"/>
    <w:rsid w:val="00677D59"/>
    <w:rsid w:val="006A7E2F"/>
    <w:rsid w:val="00731470"/>
    <w:rsid w:val="007360C4"/>
    <w:rsid w:val="00736EBE"/>
    <w:rsid w:val="00740C0D"/>
    <w:rsid w:val="00764AB2"/>
    <w:rsid w:val="00767C66"/>
    <w:rsid w:val="00784009"/>
    <w:rsid w:val="007C0AA4"/>
    <w:rsid w:val="00802B8D"/>
    <w:rsid w:val="00897A4B"/>
    <w:rsid w:val="008A2026"/>
    <w:rsid w:val="009017B0"/>
    <w:rsid w:val="009C3A37"/>
    <w:rsid w:val="009D6B94"/>
    <w:rsid w:val="009F4BA4"/>
    <w:rsid w:val="00A24634"/>
    <w:rsid w:val="00A61C25"/>
    <w:rsid w:val="00AC00D2"/>
    <w:rsid w:val="00AC2DA6"/>
    <w:rsid w:val="00AC680A"/>
    <w:rsid w:val="00AD00F8"/>
    <w:rsid w:val="00AF1777"/>
    <w:rsid w:val="00AF2A89"/>
    <w:rsid w:val="00AF4EEC"/>
    <w:rsid w:val="00B16397"/>
    <w:rsid w:val="00B17CA7"/>
    <w:rsid w:val="00B30A75"/>
    <w:rsid w:val="00B36158"/>
    <w:rsid w:val="00B46A69"/>
    <w:rsid w:val="00B74923"/>
    <w:rsid w:val="00C2605A"/>
    <w:rsid w:val="00C9634D"/>
    <w:rsid w:val="00CA5DF8"/>
    <w:rsid w:val="00D3027F"/>
    <w:rsid w:val="00D618CD"/>
    <w:rsid w:val="00D8318E"/>
    <w:rsid w:val="00DF66A6"/>
    <w:rsid w:val="00E22636"/>
    <w:rsid w:val="00E636CF"/>
    <w:rsid w:val="00E959B3"/>
    <w:rsid w:val="00EA3A31"/>
    <w:rsid w:val="00ED18A7"/>
    <w:rsid w:val="00ED5419"/>
    <w:rsid w:val="00EE3383"/>
    <w:rsid w:val="00EF1B9D"/>
    <w:rsid w:val="00F00889"/>
    <w:rsid w:val="00F22265"/>
    <w:rsid w:val="00F509F3"/>
    <w:rsid w:val="00F54AC1"/>
    <w:rsid w:val="00F64B36"/>
    <w:rsid w:val="00F76CE6"/>
    <w:rsid w:val="00F8523A"/>
    <w:rsid w:val="00F95470"/>
    <w:rsid w:val="00FB2FE0"/>
    <w:rsid w:val="00FC1669"/>
    <w:rsid w:val="00FD5CF3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18B3"/>
  <w15:chartTrackingRefBased/>
  <w15:docId w15:val="{F43801BD-3B5B-4414-A047-2E1F731E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8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889"/>
    <w:pPr>
      <w:keepNext/>
      <w:keepLines/>
      <w:spacing w:before="400" w:after="120"/>
      <w:outlineLvl w:val="0"/>
    </w:pPr>
    <w:rPr>
      <w:sz w:val="40"/>
      <w:szCs w:val="4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0889"/>
    <w:rPr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FB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FB2FE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0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0D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D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D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017B0"/>
    <w:rPr>
      <w:color w:val="0000FF" w:themeColor="hyperlink"/>
      <w:u w:val="single"/>
    </w:rPr>
  </w:style>
  <w:style w:type="paragraph" w:customStyle="1" w:styleId="Default">
    <w:name w:val="Default"/>
    <w:rsid w:val="00DF66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2B8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831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1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Hansford</dc:creator>
  <cp:keywords/>
  <dc:description/>
  <cp:lastModifiedBy>Rebecca Hansford</cp:lastModifiedBy>
  <cp:revision>62</cp:revision>
  <dcterms:created xsi:type="dcterms:W3CDTF">2018-01-12T16:35:00Z</dcterms:created>
  <dcterms:modified xsi:type="dcterms:W3CDTF">2018-01-20T06:35:00Z</dcterms:modified>
</cp:coreProperties>
</file>