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FE45" w14:textId="74037420" w:rsidR="00046103" w:rsidRPr="006F75E8" w:rsidRDefault="00046103" w:rsidP="00046103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EARLY INTERVENTION RESEARCH IN THE TIME OF COVID: POSSIBILITIES THROUGH TELEHEALTH</w:t>
      </w:r>
    </w:p>
    <w:p w14:paraId="438AEF4E" w14:textId="77777777" w:rsidR="00046103" w:rsidRPr="006F75E8" w:rsidRDefault="00046103" w:rsidP="00046103">
      <w:pPr>
        <w:jc w:val="center"/>
        <w:rPr>
          <w:rFonts w:asciiTheme="minorBidi" w:hAnsiTheme="minorBidi"/>
          <w:sz w:val="22"/>
          <w:szCs w:val="22"/>
        </w:rPr>
      </w:pPr>
    </w:p>
    <w:p w14:paraId="3FA11B5B" w14:textId="77777777" w:rsidR="00A2076B" w:rsidRDefault="00046103" w:rsidP="00A2076B">
      <w:pPr>
        <w:jc w:val="center"/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Claire Shingleton-Smith</w:t>
      </w:r>
      <w:r w:rsidRPr="006F75E8">
        <w:rPr>
          <w:rFonts w:asciiTheme="minorBidi" w:hAnsiTheme="minorBidi"/>
          <w:b/>
          <w:bCs/>
          <w:sz w:val="22"/>
          <w:szCs w:val="22"/>
          <w:vertAlign w:val="superscript"/>
        </w:rPr>
        <w:t>1</w:t>
      </w:r>
      <w:r w:rsidRPr="006F75E8">
        <w:rPr>
          <w:rFonts w:asciiTheme="minorBidi" w:hAnsiTheme="minorBidi"/>
          <w:b/>
          <w:bCs/>
          <w:sz w:val="22"/>
          <w:szCs w:val="22"/>
        </w:rPr>
        <w:t>, Maurice Feldman</w:t>
      </w:r>
      <w:r w:rsidRPr="006F75E8">
        <w:rPr>
          <w:rFonts w:asciiTheme="minorBidi" w:hAnsiTheme="minorBidi"/>
          <w:b/>
          <w:bCs/>
          <w:sz w:val="22"/>
          <w:szCs w:val="22"/>
          <w:vertAlign w:val="superscript"/>
        </w:rPr>
        <w:t>1</w:t>
      </w:r>
      <w:r w:rsidRPr="006F75E8">
        <w:rPr>
          <w:rFonts w:asciiTheme="minorBidi" w:hAnsiTheme="minorBidi"/>
          <w:b/>
          <w:bCs/>
          <w:sz w:val="22"/>
          <w:szCs w:val="22"/>
        </w:rPr>
        <w:t>, Alicia Azzano</w:t>
      </w:r>
      <w:r w:rsidRPr="006F75E8">
        <w:rPr>
          <w:rFonts w:asciiTheme="minorBidi" w:hAnsiTheme="minorBidi"/>
          <w:b/>
          <w:bCs/>
          <w:sz w:val="22"/>
          <w:szCs w:val="22"/>
          <w:vertAlign w:val="superscript"/>
        </w:rPr>
        <w:t>1</w:t>
      </w:r>
      <w:r w:rsidRPr="006F75E8">
        <w:rPr>
          <w:rFonts w:asciiTheme="minorBidi" w:hAnsiTheme="minorBidi"/>
          <w:b/>
          <w:bCs/>
          <w:sz w:val="22"/>
          <w:szCs w:val="22"/>
        </w:rPr>
        <w:t>, Julie Koudys</w:t>
      </w:r>
      <w:r w:rsidRPr="006F75E8">
        <w:rPr>
          <w:rFonts w:asciiTheme="minorBidi" w:hAnsiTheme="minorBidi"/>
          <w:b/>
          <w:bCs/>
          <w:sz w:val="22"/>
          <w:szCs w:val="22"/>
          <w:vertAlign w:val="superscript"/>
        </w:rPr>
        <w:t>1</w:t>
      </w:r>
      <w:r w:rsidRPr="006F75E8">
        <w:rPr>
          <w:rFonts w:asciiTheme="minorBidi" w:hAnsiTheme="minorBidi"/>
          <w:b/>
          <w:bCs/>
          <w:sz w:val="22"/>
          <w:szCs w:val="22"/>
        </w:rPr>
        <w:t xml:space="preserve">, </w:t>
      </w:r>
      <w:r w:rsidRPr="006F75E8">
        <w:rPr>
          <w:rFonts w:asciiTheme="minorBidi" w:hAnsiTheme="minorBidi"/>
          <w:b/>
          <w:bCs/>
          <w:sz w:val="22"/>
          <w:szCs w:val="22"/>
          <w:vertAlign w:val="superscript"/>
        </w:rPr>
        <w:t>1</w:t>
      </w:r>
      <w:r w:rsidRPr="006F75E8">
        <w:rPr>
          <w:rFonts w:asciiTheme="minorBidi" w:hAnsiTheme="minorBidi"/>
          <w:b/>
          <w:bCs/>
          <w:sz w:val="22"/>
          <w:szCs w:val="22"/>
        </w:rPr>
        <w:t>Brock University</w:t>
      </w:r>
    </w:p>
    <w:p w14:paraId="6B8440AB" w14:textId="77777777" w:rsidR="00A2076B" w:rsidRDefault="00A2076B" w:rsidP="00A2076B">
      <w:pPr>
        <w:jc w:val="center"/>
        <w:rPr>
          <w:rFonts w:asciiTheme="minorBidi" w:hAnsiTheme="minorBidi"/>
          <w:b/>
          <w:bCs/>
          <w:sz w:val="22"/>
          <w:szCs w:val="22"/>
        </w:rPr>
      </w:pPr>
    </w:p>
    <w:p w14:paraId="21801C6E" w14:textId="2A4C3F69" w:rsidR="00046103" w:rsidRDefault="00046103" w:rsidP="00A2076B">
      <w:pPr>
        <w:rPr>
          <w:rFonts w:asciiTheme="minorBidi" w:hAnsiTheme="minorBidi"/>
          <w:color w:val="000000" w:themeColor="text1"/>
          <w:sz w:val="22"/>
          <w:szCs w:val="22"/>
          <w:lang w:eastAsia="en-CA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Objectives:</w:t>
      </w:r>
      <w:r w:rsidRPr="006F75E8">
        <w:rPr>
          <w:rFonts w:asciiTheme="minorBidi" w:hAnsiTheme="minorBidi"/>
          <w:sz w:val="22"/>
          <w:szCs w:val="22"/>
        </w:rPr>
        <w:t xml:space="preserve"> 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The primary objective of this study is to determine if parents can learn to teach new skills to their children at-risk for </w:t>
      </w:r>
      <w:r w:rsidR="00F10144">
        <w:rPr>
          <w:rFonts w:asciiTheme="minorBidi" w:hAnsiTheme="minorBidi"/>
          <w:color w:val="000000" w:themeColor="text1"/>
          <w:sz w:val="22"/>
          <w:szCs w:val="22"/>
          <w:lang w:eastAsia="en-CA"/>
        </w:rPr>
        <w:t>autism spectrum disorder (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>ASD</w:t>
      </w:r>
      <w:r w:rsidR="00F10144">
        <w:rPr>
          <w:rFonts w:asciiTheme="minorBidi" w:hAnsiTheme="minorBidi"/>
          <w:color w:val="000000" w:themeColor="text1"/>
          <w:sz w:val="22"/>
          <w:szCs w:val="22"/>
          <w:lang w:eastAsia="en-CA"/>
        </w:rPr>
        <w:t>)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through general case parent training</w:t>
      </w:r>
      <w:r w:rsid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via Telehealth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. This research is important for at-risk young children as early signs of ASD manifest and change quickly in the first </w:t>
      </w:r>
      <w:r w:rsidR="004849E9">
        <w:rPr>
          <w:rFonts w:asciiTheme="minorBidi" w:hAnsiTheme="minorBidi"/>
          <w:color w:val="000000" w:themeColor="text1"/>
          <w:sz w:val="22"/>
          <w:szCs w:val="22"/>
          <w:lang w:eastAsia="en-CA"/>
        </w:rPr>
        <w:t>few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years of life. Parents would benefit from a training program that imparts generalized teaching strategies for any new skills that the child needs to learn</w:t>
      </w:r>
      <w:r w:rsid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and over a </w:t>
      </w:r>
      <w:r w:rsidR="00B77A30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virtual </w:t>
      </w:r>
      <w:r w:rsid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>platform that can allow intervention to continue through the pandemic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>. Promising results from this study coupled with our previous study</w:t>
      </w:r>
      <w:r w:rsidR="00B77A30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(</w:t>
      </w:r>
      <w:proofErr w:type="spellStart"/>
      <w:r w:rsidR="00B77A30">
        <w:rPr>
          <w:rFonts w:asciiTheme="minorBidi" w:hAnsiTheme="minorBidi"/>
          <w:color w:val="000000" w:themeColor="text1"/>
          <w:sz w:val="22"/>
          <w:szCs w:val="22"/>
          <w:lang w:eastAsia="en-CA"/>
        </w:rPr>
        <w:t>Azzano</w:t>
      </w:r>
      <w:proofErr w:type="spellEnd"/>
      <w:r w:rsidR="00B77A30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et al., 2020)</w:t>
      </w:r>
      <w:r w:rsidR="00A446EB" w:rsidRPr="00A446EB">
        <w:rPr>
          <w:rFonts w:asciiTheme="minorBidi" w:hAnsiTheme="minorBidi"/>
          <w:color w:val="000000" w:themeColor="text1"/>
          <w:sz w:val="22"/>
          <w:szCs w:val="22"/>
          <w:lang w:eastAsia="en-CA"/>
        </w:rPr>
        <w:t xml:space="preserve"> could strengthen an external grant proposal for a larger trial. The ultimate goal of this line of research is to prevent or ameliorate early signs of ASD in at-risk children.</w:t>
      </w:r>
    </w:p>
    <w:p w14:paraId="7DE430C4" w14:textId="77777777" w:rsidR="00A2076B" w:rsidRPr="00A2076B" w:rsidRDefault="00A2076B" w:rsidP="00A2076B">
      <w:pPr>
        <w:rPr>
          <w:rFonts w:asciiTheme="minorBidi" w:hAnsiTheme="minorBidi"/>
          <w:b/>
          <w:bCs/>
          <w:sz w:val="22"/>
          <w:szCs w:val="22"/>
        </w:rPr>
      </w:pPr>
    </w:p>
    <w:p w14:paraId="554A4C19" w14:textId="685E6B57" w:rsidR="00046103" w:rsidRDefault="00046103" w:rsidP="00A2076B">
      <w:pPr>
        <w:rPr>
          <w:rFonts w:asciiTheme="minorBidi" w:hAnsiTheme="minorBidi"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Method:</w:t>
      </w:r>
      <w:r w:rsidRPr="006F75E8">
        <w:rPr>
          <w:rFonts w:asciiTheme="minorBidi" w:hAnsiTheme="minorBidi"/>
          <w:sz w:val="22"/>
          <w:szCs w:val="22"/>
        </w:rPr>
        <w:t xml:space="preserve"> </w:t>
      </w:r>
      <w:r w:rsidR="00A446EB">
        <w:rPr>
          <w:rFonts w:asciiTheme="minorBidi" w:hAnsiTheme="minorBidi"/>
          <w:sz w:val="22"/>
          <w:szCs w:val="22"/>
        </w:rPr>
        <w:t xml:space="preserve">Six </w:t>
      </w:r>
      <w:r w:rsidR="00A250BA">
        <w:rPr>
          <w:rFonts w:asciiTheme="minorBidi" w:hAnsiTheme="minorBidi"/>
          <w:sz w:val="22"/>
          <w:szCs w:val="22"/>
        </w:rPr>
        <w:t>parent-child dyads</w:t>
      </w:r>
      <w:r w:rsidR="00A446EB">
        <w:rPr>
          <w:rFonts w:asciiTheme="minorBidi" w:hAnsiTheme="minorBidi"/>
          <w:sz w:val="22"/>
          <w:szCs w:val="22"/>
        </w:rPr>
        <w:t xml:space="preserve"> living across Ontario are participating in the study. All children were between the ages of 11–36 months at the start of the study and were considered at-risk for ASD due to </w:t>
      </w:r>
      <w:r w:rsidR="00F10144">
        <w:rPr>
          <w:rFonts w:asciiTheme="minorBidi" w:hAnsiTheme="minorBidi"/>
          <w:sz w:val="22"/>
          <w:szCs w:val="22"/>
        </w:rPr>
        <w:t xml:space="preserve">having </w:t>
      </w:r>
      <w:r w:rsidR="00A446EB">
        <w:rPr>
          <w:rFonts w:asciiTheme="minorBidi" w:hAnsiTheme="minorBidi"/>
          <w:sz w:val="22"/>
          <w:szCs w:val="22"/>
        </w:rPr>
        <w:t>an older sibling with a diagnosis and a score of at least 70 on the Parent Observation of Early Markers Scale (POEMS; Feldman et al., 2012)</w:t>
      </w:r>
      <w:r w:rsidR="00A2076B">
        <w:rPr>
          <w:rFonts w:asciiTheme="minorBidi" w:hAnsiTheme="minorBidi"/>
          <w:sz w:val="22"/>
          <w:szCs w:val="22"/>
        </w:rPr>
        <w:t>, a validated parent report tool</w:t>
      </w:r>
      <w:r w:rsidR="00A446EB">
        <w:rPr>
          <w:rFonts w:asciiTheme="minorBidi" w:hAnsiTheme="minorBidi"/>
          <w:sz w:val="22"/>
          <w:szCs w:val="22"/>
        </w:rPr>
        <w:t>.</w:t>
      </w:r>
      <w:r w:rsidR="00F746C4">
        <w:rPr>
          <w:rFonts w:asciiTheme="minorBidi" w:hAnsiTheme="minorBidi"/>
          <w:sz w:val="22"/>
          <w:szCs w:val="22"/>
        </w:rPr>
        <w:t xml:space="preserve"> Two multiple baseline across participants designs were used over the course of the study</w:t>
      </w:r>
      <w:r w:rsidR="00A2076B">
        <w:rPr>
          <w:rFonts w:asciiTheme="minorBidi" w:hAnsiTheme="minorBidi"/>
          <w:sz w:val="22"/>
          <w:szCs w:val="22"/>
        </w:rPr>
        <w:t xml:space="preserve"> to demonstrate experimental control of the intervention on parent teaching skills for trained and untrained child target behaviours (Cooper et al., 2020)</w:t>
      </w:r>
      <w:r w:rsidR="00F746C4">
        <w:rPr>
          <w:rFonts w:asciiTheme="minorBidi" w:hAnsiTheme="minorBidi"/>
          <w:sz w:val="22"/>
          <w:szCs w:val="22"/>
        </w:rPr>
        <w:t>.</w:t>
      </w:r>
      <w:r w:rsidR="00A2076B">
        <w:rPr>
          <w:rFonts w:asciiTheme="minorBidi" w:hAnsiTheme="minorBidi"/>
          <w:sz w:val="22"/>
          <w:szCs w:val="22"/>
        </w:rPr>
        <w:t xml:space="preserve"> Parents in baseline were asked to demonstrate their teaching procedures for a variety of child skills. </w:t>
      </w:r>
      <w:r w:rsidR="00A250BA">
        <w:rPr>
          <w:rFonts w:asciiTheme="minorBidi" w:hAnsiTheme="minorBidi"/>
          <w:sz w:val="22"/>
          <w:szCs w:val="22"/>
        </w:rPr>
        <w:t>Data were collected on parent and child behaviours across baseline, intervention, and follow-up phases. During the</w:t>
      </w:r>
      <w:r w:rsidR="00A2076B">
        <w:rPr>
          <w:rFonts w:asciiTheme="minorBidi" w:hAnsiTheme="minorBidi"/>
          <w:sz w:val="22"/>
          <w:szCs w:val="22"/>
        </w:rPr>
        <w:t xml:space="preserve"> intervention</w:t>
      </w:r>
      <w:r w:rsidR="00A250BA">
        <w:rPr>
          <w:rFonts w:asciiTheme="minorBidi" w:hAnsiTheme="minorBidi"/>
          <w:sz w:val="22"/>
          <w:szCs w:val="22"/>
        </w:rPr>
        <w:t xml:space="preserve"> phase</w:t>
      </w:r>
      <w:r w:rsidR="00A2076B">
        <w:rPr>
          <w:rFonts w:asciiTheme="minorBidi" w:hAnsiTheme="minorBidi"/>
          <w:sz w:val="22"/>
          <w:szCs w:val="22"/>
        </w:rPr>
        <w:t xml:space="preserve">, parents were trained across nine exemplars in rapid rotation using Behaviour Skills Training (BST; </w:t>
      </w:r>
      <w:proofErr w:type="spellStart"/>
      <w:r w:rsidR="00A2076B">
        <w:rPr>
          <w:rFonts w:asciiTheme="minorBidi" w:hAnsiTheme="minorBidi"/>
          <w:sz w:val="22"/>
          <w:szCs w:val="22"/>
        </w:rPr>
        <w:t>Sarakoff</w:t>
      </w:r>
      <w:proofErr w:type="spellEnd"/>
      <w:r w:rsidR="00A2076B">
        <w:rPr>
          <w:rFonts w:asciiTheme="minorBidi" w:hAnsiTheme="minorBidi"/>
          <w:sz w:val="22"/>
          <w:szCs w:val="22"/>
        </w:rPr>
        <w:t xml:space="preserve"> &amp; </w:t>
      </w:r>
      <w:proofErr w:type="spellStart"/>
      <w:r w:rsidR="00A2076B">
        <w:rPr>
          <w:rFonts w:asciiTheme="minorBidi" w:hAnsiTheme="minorBidi"/>
          <w:sz w:val="22"/>
          <w:szCs w:val="22"/>
        </w:rPr>
        <w:t>Sturmey</w:t>
      </w:r>
      <w:proofErr w:type="spellEnd"/>
      <w:r w:rsidR="00A2076B">
        <w:rPr>
          <w:rFonts w:asciiTheme="minorBidi" w:hAnsiTheme="minorBidi"/>
          <w:sz w:val="22"/>
          <w:szCs w:val="22"/>
        </w:rPr>
        <w:t xml:space="preserve">, 2004) and General Case Training (GCT; Ward-Horner &amp; </w:t>
      </w:r>
      <w:proofErr w:type="spellStart"/>
      <w:r w:rsidR="00A2076B">
        <w:rPr>
          <w:rFonts w:asciiTheme="minorBidi" w:hAnsiTheme="minorBidi"/>
          <w:sz w:val="22"/>
          <w:szCs w:val="22"/>
        </w:rPr>
        <w:t>Sturmey</w:t>
      </w:r>
      <w:proofErr w:type="spellEnd"/>
      <w:r w:rsidR="00A2076B">
        <w:rPr>
          <w:rFonts w:asciiTheme="minorBidi" w:hAnsiTheme="minorBidi"/>
          <w:sz w:val="22"/>
          <w:szCs w:val="22"/>
        </w:rPr>
        <w:t>, 2007). IOA was collected on 4</w:t>
      </w:r>
      <w:r w:rsidR="00A250BA">
        <w:rPr>
          <w:rFonts w:asciiTheme="minorBidi" w:hAnsiTheme="minorBidi"/>
          <w:sz w:val="22"/>
          <w:szCs w:val="22"/>
        </w:rPr>
        <w:t>1</w:t>
      </w:r>
      <w:r w:rsidR="00A2076B">
        <w:rPr>
          <w:rFonts w:asciiTheme="minorBidi" w:hAnsiTheme="minorBidi"/>
          <w:sz w:val="22"/>
          <w:szCs w:val="22"/>
        </w:rPr>
        <w:t xml:space="preserve">% of sessions </w:t>
      </w:r>
      <w:r w:rsidR="00A250BA">
        <w:rPr>
          <w:rFonts w:asciiTheme="minorBidi" w:hAnsiTheme="minorBidi"/>
          <w:sz w:val="22"/>
          <w:szCs w:val="22"/>
        </w:rPr>
        <w:t>(M=88%, range=63%–100%).</w:t>
      </w:r>
    </w:p>
    <w:p w14:paraId="62E7EF19" w14:textId="77777777" w:rsidR="00A250BA" w:rsidRPr="006F75E8" w:rsidRDefault="00A250BA" w:rsidP="00A2076B">
      <w:pPr>
        <w:rPr>
          <w:rFonts w:asciiTheme="minorBidi" w:hAnsiTheme="minorBidi"/>
          <w:sz w:val="22"/>
          <w:szCs w:val="22"/>
        </w:rPr>
      </w:pPr>
    </w:p>
    <w:p w14:paraId="4DF00B39" w14:textId="61BE295A" w:rsidR="00046103" w:rsidRDefault="00046103" w:rsidP="00A2076B">
      <w:pPr>
        <w:rPr>
          <w:rFonts w:asciiTheme="minorBidi" w:hAnsiTheme="minorBidi"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Results:</w:t>
      </w:r>
      <w:r w:rsidRPr="006F75E8">
        <w:rPr>
          <w:rFonts w:asciiTheme="minorBidi" w:hAnsiTheme="minorBidi"/>
          <w:sz w:val="22"/>
          <w:szCs w:val="22"/>
        </w:rPr>
        <w:t xml:space="preserve"> </w:t>
      </w:r>
      <w:r w:rsidR="00A250BA">
        <w:rPr>
          <w:rFonts w:asciiTheme="minorBidi" w:hAnsiTheme="minorBidi"/>
          <w:sz w:val="22"/>
          <w:szCs w:val="22"/>
        </w:rPr>
        <w:t>All parent and child data were scored</w:t>
      </w:r>
      <w:r w:rsidR="00B77A30">
        <w:rPr>
          <w:rFonts w:asciiTheme="minorBidi" w:hAnsiTheme="minorBidi"/>
          <w:sz w:val="22"/>
          <w:szCs w:val="22"/>
        </w:rPr>
        <w:t xml:space="preserve"> by a primary observer</w:t>
      </w:r>
      <w:r w:rsidR="00A250BA">
        <w:rPr>
          <w:rFonts w:asciiTheme="minorBidi" w:hAnsiTheme="minorBidi"/>
          <w:sz w:val="22"/>
          <w:szCs w:val="22"/>
        </w:rPr>
        <w:t xml:space="preserve"> and analyzed by visual inspection. </w:t>
      </w:r>
      <w:r w:rsidR="00A2076B">
        <w:rPr>
          <w:rFonts w:asciiTheme="minorBidi" w:hAnsiTheme="minorBidi"/>
          <w:sz w:val="22"/>
          <w:szCs w:val="22"/>
        </w:rPr>
        <w:t>Parents in the first training group showed moderate stable baselines</w:t>
      </w:r>
      <w:r w:rsidR="00B77A30">
        <w:rPr>
          <w:rFonts w:asciiTheme="minorBidi" w:hAnsiTheme="minorBidi"/>
          <w:sz w:val="22"/>
          <w:szCs w:val="22"/>
        </w:rPr>
        <w:t xml:space="preserve"> (M=57%)</w:t>
      </w:r>
      <w:r w:rsidR="00A2076B">
        <w:rPr>
          <w:rFonts w:asciiTheme="minorBidi" w:hAnsiTheme="minorBidi"/>
          <w:sz w:val="22"/>
          <w:szCs w:val="22"/>
        </w:rPr>
        <w:t>, and all</w:t>
      </w:r>
      <w:r w:rsidR="00A250BA">
        <w:rPr>
          <w:rFonts w:asciiTheme="minorBidi" w:hAnsiTheme="minorBidi"/>
          <w:sz w:val="22"/>
          <w:szCs w:val="22"/>
        </w:rPr>
        <w:t xml:space="preserve"> three</w:t>
      </w:r>
      <w:r w:rsidR="00A2076B">
        <w:rPr>
          <w:rFonts w:asciiTheme="minorBidi" w:hAnsiTheme="minorBidi"/>
          <w:sz w:val="22"/>
          <w:szCs w:val="22"/>
        </w:rPr>
        <w:t xml:space="preserve"> parents showed a significant </w:t>
      </w:r>
      <w:r w:rsidR="00A250BA">
        <w:rPr>
          <w:rFonts w:asciiTheme="minorBidi" w:hAnsiTheme="minorBidi"/>
          <w:sz w:val="22"/>
          <w:szCs w:val="22"/>
        </w:rPr>
        <w:t xml:space="preserve">level </w:t>
      </w:r>
      <w:r w:rsidR="00A2076B">
        <w:rPr>
          <w:rFonts w:asciiTheme="minorBidi" w:hAnsiTheme="minorBidi"/>
          <w:sz w:val="22"/>
          <w:szCs w:val="22"/>
        </w:rPr>
        <w:t>increase in both trained and untrained skills immediately after the implementation of the intervention phase</w:t>
      </w:r>
      <w:r w:rsidR="00B77A30">
        <w:rPr>
          <w:rFonts w:asciiTheme="minorBidi" w:hAnsiTheme="minorBidi"/>
          <w:sz w:val="22"/>
          <w:szCs w:val="22"/>
        </w:rPr>
        <w:t xml:space="preserve"> (M=96%) </w:t>
      </w:r>
      <w:r w:rsidR="00A2076B">
        <w:rPr>
          <w:rFonts w:asciiTheme="minorBidi" w:hAnsiTheme="minorBidi"/>
          <w:sz w:val="22"/>
          <w:szCs w:val="22"/>
        </w:rPr>
        <w:t xml:space="preserve">and maintained an average of over 80% in follow up. Child scores were variable from baseline to follow-up with two children showing significant increases in responding. The second group of data collection is </w:t>
      </w:r>
      <w:r w:rsidR="00A250BA">
        <w:rPr>
          <w:rFonts w:asciiTheme="minorBidi" w:hAnsiTheme="minorBidi"/>
          <w:sz w:val="22"/>
          <w:szCs w:val="22"/>
        </w:rPr>
        <w:t>underway</w:t>
      </w:r>
      <w:r w:rsidR="004849E9">
        <w:rPr>
          <w:rFonts w:asciiTheme="minorBidi" w:hAnsiTheme="minorBidi"/>
          <w:sz w:val="22"/>
          <w:szCs w:val="22"/>
        </w:rPr>
        <w:t>.</w:t>
      </w:r>
    </w:p>
    <w:p w14:paraId="551AA877" w14:textId="77777777" w:rsidR="00A250BA" w:rsidRPr="006F75E8" w:rsidRDefault="00A250BA" w:rsidP="00A2076B">
      <w:pPr>
        <w:rPr>
          <w:rFonts w:asciiTheme="minorBidi" w:hAnsiTheme="minorBidi"/>
          <w:sz w:val="22"/>
          <w:szCs w:val="22"/>
        </w:rPr>
      </w:pPr>
    </w:p>
    <w:p w14:paraId="30BFC6BF" w14:textId="4C1E0016" w:rsidR="00A250BA" w:rsidRPr="00A250BA" w:rsidRDefault="00046103" w:rsidP="00D26AF9">
      <w:pPr>
        <w:rPr>
          <w:rFonts w:asciiTheme="minorBidi" w:hAnsiTheme="minorBidi"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Discussion/Conclusion:</w:t>
      </w:r>
      <w:r w:rsidRPr="006F75E8">
        <w:rPr>
          <w:rFonts w:asciiTheme="minorBidi" w:hAnsiTheme="minorBidi"/>
          <w:sz w:val="22"/>
          <w:szCs w:val="22"/>
        </w:rPr>
        <w:t xml:space="preserve"> </w:t>
      </w:r>
      <w:r w:rsidR="00A250BA" w:rsidRPr="00A250BA">
        <w:rPr>
          <w:rFonts w:asciiTheme="minorBidi" w:hAnsiTheme="minorBidi"/>
          <w:sz w:val="22"/>
          <w:szCs w:val="22"/>
        </w:rPr>
        <w:t>This is the first</w:t>
      </w:r>
      <w:r w:rsidR="00A250BA">
        <w:rPr>
          <w:rFonts w:asciiTheme="minorBidi" w:hAnsiTheme="minorBidi"/>
          <w:sz w:val="22"/>
          <w:szCs w:val="22"/>
        </w:rPr>
        <w:t xml:space="preserve"> known</w:t>
      </w:r>
      <w:r w:rsidR="00A250BA" w:rsidRPr="00A250BA">
        <w:rPr>
          <w:rFonts w:asciiTheme="minorBidi" w:hAnsiTheme="minorBidi"/>
          <w:sz w:val="22"/>
          <w:szCs w:val="22"/>
        </w:rPr>
        <w:t xml:space="preserve"> study to combine the use of GCT and BST in an </w:t>
      </w:r>
      <w:r w:rsidR="00F10144">
        <w:rPr>
          <w:rFonts w:asciiTheme="minorBidi" w:hAnsiTheme="minorBidi"/>
          <w:sz w:val="22"/>
          <w:szCs w:val="22"/>
        </w:rPr>
        <w:t>applied behavioural analytic</w:t>
      </w:r>
      <w:r w:rsidR="00A250BA" w:rsidRPr="00A250BA">
        <w:rPr>
          <w:rFonts w:asciiTheme="minorBidi" w:hAnsiTheme="minorBidi"/>
          <w:sz w:val="22"/>
          <w:szCs w:val="22"/>
        </w:rPr>
        <w:t xml:space="preserve"> early intervention for young children at-risk for ASD and the first one to do so via Telehealth.</w:t>
      </w:r>
      <w:r w:rsidR="00D26AF9">
        <w:rPr>
          <w:rFonts w:asciiTheme="minorBidi" w:hAnsiTheme="minorBidi"/>
          <w:sz w:val="22"/>
          <w:szCs w:val="22"/>
        </w:rPr>
        <w:t xml:space="preserve"> </w:t>
      </w:r>
      <w:r w:rsidR="00A250BA" w:rsidRPr="00A250BA">
        <w:rPr>
          <w:rFonts w:asciiTheme="minorBidi" w:hAnsiTheme="minorBidi"/>
          <w:sz w:val="22"/>
          <w:szCs w:val="22"/>
        </w:rPr>
        <w:t>The preliminary results indicate that this system may be an effective approach to teach parents ABA strategies in a general way that can be applied to any skill that the child may need to learn over time to meet their developmental goals</w:t>
      </w:r>
      <w:r w:rsidR="00A250BA">
        <w:rPr>
          <w:rFonts w:asciiTheme="minorBidi" w:hAnsiTheme="minorBidi"/>
          <w:sz w:val="22"/>
          <w:szCs w:val="22"/>
        </w:rPr>
        <w:t xml:space="preserve"> and can be done</w:t>
      </w:r>
      <w:r w:rsidR="00D26AF9">
        <w:rPr>
          <w:rFonts w:asciiTheme="minorBidi" w:hAnsiTheme="minorBidi"/>
          <w:sz w:val="22"/>
          <w:szCs w:val="22"/>
        </w:rPr>
        <w:t xml:space="preserve"> safely</w:t>
      </w:r>
      <w:r w:rsidR="00A250BA">
        <w:rPr>
          <w:rFonts w:asciiTheme="minorBidi" w:hAnsiTheme="minorBidi"/>
          <w:sz w:val="22"/>
          <w:szCs w:val="22"/>
        </w:rPr>
        <w:t xml:space="preserve"> throughout the pandemic</w:t>
      </w:r>
      <w:r w:rsidR="00A250BA" w:rsidRPr="00A250BA">
        <w:rPr>
          <w:rFonts w:asciiTheme="minorBidi" w:hAnsiTheme="minorBidi"/>
          <w:sz w:val="22"/>
          <w:szCs w:val="22"/>
        </w:rPr>
        <w:t xml:space="preserve">. This approach is </w:t>
      </w:r>
      <w:r w:rsidR="00F10144">
        <w:rPr>
          <w:rFonts w:asciiTheme="minorBidi" w:hAnsiTheme="minorBidi"/>
          <w:sz w:val="22"/>
          <w:szCs w:val="22"/>
        </w:rPr>
        <w:t xml:space="preserve">a </w:t>
      </w:r>
      <w:r w:rsidR="00A250BA" w:rsidRPr="00A250BA">
        <w:rPr>
          <w:rFonts w:asciiTheme="minorBidi" w:hAnsiTheme="minorBidi"/>
          <w:sz w:val="22"/>
          <w:szCs w:val="22"/>
        </w:rPr>
        <w:t>cost-effective, efficient, and socially validated approach to early intervention.</w:t>
      </w:r>
    </w:p>
    <w:p w14:paraId="2CE542C3" w14:textId="723EEDE1" w:rsidR="006F75E8" w:rsidRPr="006F75E8" w:rsidRDefault="006F75E8">
      <w:pPr>
        <w:rPr>
          <w:rFonts w:asciiTheme="minorBidi" w:hAnsiTheme="minorBidi"/>
          <w:sz w:val="22"/>
          <w:szCs w:val="22"/>
        </w:rPr>
      </w:pPr>
    </w:p>
    <w:p w14:paraId="7338D608" w14:textId="0119E4AE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Correspondence:</w:t>
      </w:r>
    </w:p>
    <w:p w14:paraId="59668A5A" w14:textId="4DD67FCE" w:rsidR="006F75E8" w:rsidRPr="006F75E8" w:rsidRDefault="006F75E8">
      <w:pPr>
        <w:rPr>
          <w:rFonts w:asciiTheme="minorBidi" w:hAnsiTheme="minorBidi"/>
          <w:sz w:val="22"/>
          <w:szCs w:val="22"/>
        </w:rPr>
      </w:pPr>
    </w:p>
    <w:p w14:paraId="38F1D05D" w14:textId="78CBBE9A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Claire Shingleton-Smith, M.A. Candidate</w:t>
      </w:r>
    </w:p>
    <w:p w14:paraId="3B5C0B76" w14:textId="6560F27B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Brock University</w:t>
      </w:r>
    </w:p>
    <w:p w14:paraId="53434CBF" w14:textId="35AFA6F0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1812 Sir Isaac Brock Way,</w:t>
      </w:r>
    </w:p>
    <w:p w14:paraId="2EA41D3B" w14:textId="7A2CF6C2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lastRenderedPageBreak/>
        <w:t xml:space="preserve">St. Catharines, ON, </w:t>
      </w:r>
    </w:p>
    <w:p w14:paraId="2A035C00" w14:textId="74CB1D03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cs18sk@brocku.ca</w:t>
      </w:r>
    </w:p>
    <w:p w14:paraId="06009C42" w14:textId="44338AAA" w:rsidR="006F75E8" w:rsidRPr="006F75E8" w:rsidRDefault="006F75E8">
      <w:pPr>
        <w:rPr>
          <w:rFonts w:asciiTheme="minorBidi" w:hAnsiTheme="minorBidi"/>
          <w:b/>
          <w:bCs/>
          <w:sz w:val="22"/>
          <w:szCs w:val="22"/>
        </w:rPr>
      </w:pPr>
    </w:p>
    <w:p w14:paraId="36D54A9A" w14:textId="69DC8CD2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Maurice Feldman, C. Psych, Ph.D., BCBA-D</w:t>
      </w:r>
    </w:p>
    <w:p w14:paraId="2F9BBFC0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Brock University</w:t>
      </w:r>
    </w:p>
    <w:p w14:paraId="0517FF5F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1812 Sir Isaac Brock Way,</w:t>
      </w:r>
    </w:p>
    <w:p w14:paraId="04AC9218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 xml:space="preserve">St. Catharines, ON, </w:t>
      </w:r>
    </w:p>
    <w:p w14:paraId="6B6D4722" w14:textId="0EE8B652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mfeldman@brocku.ca</w:t>
      </w:r>
    </w:p>
    <w:p w14:paraId="2B41AAA5" w14:textId="524B90C6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</w:p>
    <w:p w14:paraId="2057EB3C" w14:textId="597A1322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  <w:lang w:val="it-IT"/>
        </w:rPr>
      </w:pPr>
      <w:r w:rsidRPr="006F75E8">
        <w:rPr>
          <w:rFonts w:asciiTheme="minorBidi" w:hAnsiTheme="minorBidi"/>
          <w:b/>
          <w:bCs/>
          <w:sz w:val="22"/>
          <w:szCs w:val="22"/>
          <w:lang w:val="it-IT"/>
        </w:rPr>
        <w:t>Alicia Azzano, M.A., BCBA</w:t>
      </w:r>
    </w:p>
    <w:p w14:paraId="67E82074" w14:textId="77777777" w:rsidR="006F75E8" w:rsidRPr="00A446EB" w:rsidRDefault="006F75E8" w:rsidP="006F75E8">
      <w:pPr>
        <w:rPr>
          <w:rFonts w:asciiTheme="minorBidi" w:hAnsiTheme="minorBidi"/>
          <w:b/>
          <w:bCs/>
          <w:sz w:val="22"/>
          <w:szCs w:val="22"/>
          <w:lang w:val="it-IT"/>
        </w:rPr>
      </w:pPr>
      <w:proofErr w:type="spellStart"/>
      <w:r w:rsidRPr="00A446EB">
        <w:rPr>
          <w:rFonts w:asciiTheme="minorBidi" w:hAnsiTheme="minorBidi"/>
          <w:b/>
          <w:bCs/>
          <w:sz w:val="22"/>
          <w:szCs w:val="22"/>
          <w:lang w:val="it-IT"/>
        </w:rPr>
        <w:t>Brock</w:t>
      </w:r>
      <w:proofErr w:type="spellEnd"/>
      <w:r w:rsidRPr="00A446EB">
        <w:rPr>
          <w:rFonts w:asciiTheme="minorBidi" w:hAnsiTheme="minorBidi"/>
          <w:b/>
          <w:bCs/>
          <w:sz w:val="22"/>
          <w:szCs w:val="22"/>
          <w:lang w:val="it-IT"/>
        </w:rPr>
        <w:t xml:space="preserve"> </w:t>
      </w:r>
      <w:proofErr w:type="spellStart"/>
      <w:r w:rsidRPr="00A446EB">
        <w:rPr>
          <w:rFonts w:asciiTheme="minorBidi" w:hAnsiTheme="minorBidi"/>
          <w:b/>
          <w:bCs/>
          <w:sz w:val="22"/>
          <w:szCs w:val="22"/>
          <w:lang w:val="it-IT"/>
        </w:rPr>
        <w:t>University</w:t>
      </w:r>
      <w:proofErr w:type="spellEnd"/>
    </w:p>
    <w:p w14:paraId="4F32032B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1812 Sir Isaac Brock Way,</w:t>
      </w:r>
    </w:p>
    <w:p w14:paraId="4CB05A38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 xml:space="preserve">St. Catharines, ON, </w:t>
      </w:r>
    </w:p>
    <w:p w14:paraId="2481E8C4" w14:textId="4E7CAD6E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azzano.alicia@gmail.com</w:t>
      </w:r>
    </w:p>
    <w:p w14:paraId="0E55FBE2" w14:textId="4ACF8093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</w:p>
    <w:p w14:paraId="144B2569" w14:textId="6451FE58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 xml:space="preserve">Julie </w:t>
      </w:r>
      <w:proofErr w:type="spellStart"/>
      <w:r w:rsidRPr="006F75E8">
        <w:rPr>
          <w:rFonts w:asciiTheme="minorBidi" w:hAnsiTheme="minorBidi"/>
          <w:b/>
          <w:bCs/>
          <w:sz w:val="22"/>
          <w:szCs w:val="22"/>
        </w:rPr>
        <w:t>Koudys</w:t>
      </w:r>
      <w:proofErr w:type="spellEnd"/>
      <w:r w:rsidRPr="006F75E8">
        <w:rPr>
          <w:rFonts w:asciiTheme="minorBidi" w:hAnsiTheme="minorBidi"/>
          <w:b/>
          <w:bCs/>
          <w:sz w:val="22"/>
          <w:szCs w:val="22"/>
        </w:rPr>
        <w:t xml:space="preserve">, C. </w:t>
      </w:r>
      <w:proofErr w:type="spellStart"/>
      <w:r w:rsidRPr="006F75E8">
        <w:rPr>
          <w:rFonts w:asciiTheme="minorBidi" w:hAnsiTheme="minorBidi"/>
          <w:b/>
          <w:bCs/>
          <w:sz w:val="22"/>
          <w:szCs w:val="22"/>
        </w:rPr>
        <w:t>Pysch</w:t>
      </w:r>
      <w:proofErr w:type="spellEnd"/>
      <w:r w:rsidRPr="006F75E8">
        <w:rPr>
          <w:rFonts w:asciiTheme="minorBidi" w:hAnsiTheme="minorBidi"/>
          <w:b/>
          <w:bCs/>
          <w:sz w:val="22"/>
          <w:szCs w:val="22"/>
        </w:rPr>
        <w:t>, Ph.D., BCBA-D</w:t>
      </w:r>
    </w:p>
    <w:p w14:paraId="21E6F5D4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Brock University</w:t>
      </w:r>
    </w:p>
    <w:p w14:paraId="347180D6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1812 Sir Isaac Brock Way,</w:t>
      </w:r>
    </w:p>
    <w:p w14:paraId="01685BC7" w14:textId="77777777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 xml:space="preserve">St. Catharines, ON, </w:t>
      </w:r>
    </w:p>
    <w:p w14:paraId="1B958017" w14:textId="11E87DAF" w:rsidR="006F75E8" w:rsidRPr="006F75E8" w:rsidRDefault="006F75E8" w:rsidP="006F75E8">
      <w:pPr>
        <w:rPr>
          <w:rFonts w:asciiTheme="minorBidi" w:hAnsiTheme="minorBidi"/>
          <w:b/>
          <w:bCs/>
          <w:sz w:val="22"/>
          <w:szCs w:val="22"/>
        </w:rPr>
      </w:pPr>
      <w:r w:rsidRPr="006F75E8">
        <w:rPr>
          <w:rFonts w:asciiTheme="minorBidi" w:hAnsiTheme="minorBidi"/>
          <w:b/>
          <w:bCs/>
          <w:sz w:val="22"/>
          <w:szCs w:val="22"/>
        </w:rPr>
        <w:t>jkoudys@brocku.ca</w:t>
      </w:r>
    </w:p>
    <w:p w14:paraId="15846CB5" w14:textId="77777777" w:rsidR="006F75E8" w:rsidRPr="006F75E8" w:rsidRDefault="006F75E8" w:rsidP="006F75E8">
      <w:pPr>
        <w:rPr>
          <w:rFonts w:asciiTheme="minorBidi" w:hAnsiTheme="minorBidi"/>
          <w:sz w:val="22"/>
          <w:szCs w:val="22"/>
        </w:rPr>
      </w:pPr>
    </w:p>
    <w:p w14:paraId="37FDD818" w14:textId="77777777" w:rsidR="006F75E8" w:rsidRPr="006F75E8" w:rsidRDefault="006F75E8" w:rsidP="006F75E8">
      <w:pPr>
        <w:rPr>
          <w:rFonts w:asciiTheme="minorBidi" w:hAnsiTheme="minorBidi"/>
          <w:sz w:val="22"/>
          <w:szCs w:val="22"/>
        </w:rPr>
      </w:pPr>
    </w:p>
    <w:p w14:paraId="085B6F9B" w14:textId="77777777" w:rsidR="006F75E8" w:rsidRPr="006F75E8" w:rsidRDefault="006F75E8">
      <w:pPr>
        <w:rPr>
          <w:rFonts w:asciiTheme="minorBidi" w:hAnsiTheme="minorBidi"/>
          <w:sz w:val="22"/>
          <w:szCs w:val="22"/>
        </w:rPr>
      </w:pPr>
    </w:p>
    <w:sectPr w:rsidR="006F75E8" w:rsidRPr="006F75E8" w:rsidSect="005F4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03"/>
    <w:rsid w:val="00046103"/>
    <w:rsid w:val="004849E9"/>
    <w:rsid w:val="005F4F21"/>
    <w:rsid w:val="006F75E8"/>
    <w:rsid w:val="00A2076B"/>
    <w:rsid w:val="00A250BA"/>
    <w:rsid w:val="00A446EB"/>
    <w:rsid w:val="00B77A30"/>
    <w:rsid w:val="00D26AF9"/>
    <w:rsid w:val="00F10144"/>
    <w:rsid w:val="00F16D4A"/>
    <w:rsid w:val="00F4491D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28533"/>
  <w15:chartTrackingRefBased/>
  <w15:docId w15:val="{F8F44E51-64BC-4846-A49B-E3C2343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Shingleton-Smith</dc:creator>
  <cp:keywords/>
  <dc:description/>
  <cp:lastModifiedBy>Claire Shingleton-Smith</cp:lastModifiedBy>
  <cp:revision>4</cp:revision>
  <dcterms:created xsi:type="dcterms:W3CDTF">2021-01-18T14:15:00Z</dcterms:created>
  <dcterms:modified xsi:type="dcterms:W3CDTF">2021-01-29T21:47:00Z</dcterms:modified>
</cp:coreProperties>
</file>