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5CC3" w14:textId="1BAD797E" w:rsidR="004E2C3E" w:rsidRPr="00C33126" w:rsidRDefault="004866DE" w:rsidP="00AC087F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A POSITIVE YOUTH DEVELOPMENT FRAMEWORK TO UNDERSTAND POSITIVE MENTAL HEALTH IN AUTISTIC YOUTH</w:t>
      </w:r>
    </w:p>
    <w:p w14:paraId="56B31391" w14:textId="77777777" w:rsidR="004866DE" w:rsidRPr="00C33126" w:rsidRDefault="004866DE" w:rsidP="004866DE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398A12AF" w14:textId="5AA6B6BC" w:rsidR="004866DE" w:rsidRPr="00C33126" w:rsidRDefault="004866DE" w:rsidP="004866DE">
      <w:pPr>
        <w:jc w:val="center"/>
        <w:rPr>
          <w:rFonts w:ascii="Arial" w:hAnsi="Arial" w:cs="Arial"/>
          <w:b/>
          <w:bCs/>
          <w:sz w:val="22"/>
          <w:szCs w:val="22"/>
          <w:vertAlign w:val="superscript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Teresa Sellitto</w:t>
      </w:r>
      <w:r w:rsidRPr="00C33126">
        <w:rPr>
          <w:rFonts w:ascii="Arial" w:hAnsi="Arial" w:cs="Arial"/>
          <w:b/>
          <w:bCs/>
          <w:sz w:val="22"/>
          <w:szCs w:val="22"/>
          <w:vertAlign w:val="superscript"/>
          <w:lang w:val="en-CA"/>
        </w:rPr>
        <w:t>1</w:t>
      </w:r>
      <w:r w:rsidRPr="00C33126">
        <w:rPr>
          <w:rFonts w:ascii="Arial" w:hAnsi="Arial" w:cs="Arial"/>
          <w:b/>
          <w:bCs/>
          <w:sz w:val="22"/>
          <w:szCs w:val="22"/>
          <w:lang w:val="en-CA"/>
        </w:rPr>
        <w:t>, Jonathan A. Weiss</w:t>
      </w:r>
      <w:r w:rsidRPr="00C33126">
        <w:rPr>
          <w:rFonts w:ascii="Arial" w:hAnsi="Arial" w:cs="Arial"/>
          <w:b/>
          <w:bCs/>
          <w:sz w:val="22"/>
          <w:szCs w:val="22"/>
          <w:vertAlign w:val="superscript"/>
          <w:lang w:val="en-CA"/>
        </w:rPr>
        <w:t>1</w:t>
      </w:r>
    </w:p>
    <w:p w14:paraId="48BD427B" w14:textId="6E329BD8" w:rsidR="0009306C" w:rsidRPr="00C33126" w:rsidRDefault="001A16BA" w:rsidP="004866DE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vertAlign w:val="superscript"/>
          <w:lang w:val="en-CA"/>
        </w:rPr>
        <w:t>1</w:t>
      </w:r>
      <w:r w:rsidR="0009306C" w:rsidRPr="00C33126">
        <w:rPr>
          <w:rFonts w:ascii="Arial" w:hAnsi="Arial" w:cs="Arial"/>
          <w:b/>
          <w:bCs/>
          <w:sz w:val="22"/>
          <w:szCs w:val="22"/>
          <w:lang w:val="en-CA"/>
        </w:rPr>
        <w:t>York University</w:t>
      </w:r>
    </w:p>
    <w:p w14:paraId="1AFD0290" w14:textId="77777777" w:rsidR="006508D8" w:rsidRPr="00C33126" w:rsidRDefault="006508D8" w:rsidP="006508D8">
      <w:pPr>
        <w:rPr>
          <w:rFonts w:ascii="Arial" w:hAnsi="Arial" w:cs="Arial"/>
          <w:sz w:val="22"/>
          <w:szCs w:val="22"/>
          <w:lang w:val="en-CA"/>
        </w:rPr>
      </w:pPr>
    </w:p>
    <w:p w14:paraId="2A5F77BB" w14:textId="66D0F317" w:rsidR="004E2C3E" w:rsidRPr="00C33126" w:rsidRDefault="00DB6B4D" w:rsidP="004E2C3E">
      <w:pPr>
        <w:rPr>
          <w:rFonts w:ascii="Arial" w:hAnsi="Arial" w:cs="Arial"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Objectives</w:t>
      </w:r>
      <w:r w:rsidR="004E2C3E"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: 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Positive mental health </w:t>
      </w:r>
      <w:r w:rsidR="009E400E" w:rsidRPr="00C33126">
        <w:rPr>
          <w:rFonts w:ascii="Arial" w:hAnsi="Arial" w:cs="Arial"/>
          <w:sz w:val="22"/>
          <w:szCs w:val="22"/>
          <w:lang w:val="en-CA"/>
        </w:rPr>
        <w:t xml:space="preserve">(PMH) </w:t>
      </w:r>
      <w:r w:rsidR="003B4F2E" w:rsidRPr="00C33126">
        <w:rPr>
          <w:rFonts w:ascii="Arial" w:hAnsi="Arial" w:cs="Arial"/>
          <w:sz w:val="22"/>
          <w:szCs w:val="22"/>
          <w:lang w:val="en-CA"/>
        </w:rPr>
        <w:t>has been conceptualized as</w:t>
      </w:r>
      <w:r w:rsidR="0044789E" w:rsidRPr="00C33126">
        <w:rPr>
          <w:rFonts w:ascii="Arial" w:hAnsi="Arial" w:cs="Arial"/>
          <w:sz w:val="22"/>
          <w:szCs w:val="22"/>
          <w:lang w:val="en-CA"/>
        </w:rPr>
        <w:t xml:space="preserve"> the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combination of positive psychological and social functioning, rather than just the absence of mental health problems (Keyes, 2002). </w:t>
      </w:r>
      <w:r w:rsidR="00F94339" w:rsidRPr="00C33126">
        <w:rPr>
          <w:rFonts w:ascii="Arial" w:hAnsi="Arial" w:cs="Arial"/>
          <w:sz w:val="22"/>
          <w:szCs w:val="22"/>
          <w:lang w:val="en-CA"/>
        </w:rPr>
        <w:t xml:space="preserve">This includes a </w:t>
      </w:r>
      <w:r w:rsidR="004E2C3E" w:rsidRPr="00C33126">
        <w:rPr>
          <w:rFonts w:ascii="Arial" w:hAnsi="Arial" w:cs="Arial"/>
          <w:sz w:val="22"/>
          <w:szCs w:val="22"/>
          <w:lang w:val="en-CA"/>
        </w:rPr>
        <w:t>continuum rang</w:t>
      </w:r>
      <w:r w:rsidR="00F94339" w:rsidRPr="00C33126">
        <w:rPr>
          <w:rFonts w:ascii="Arial" w:hAnsi="Arial" w:cs="Arial"/>
          <w:sz w:val="22"/>
          <w:szCs w:val="22"/>
          <w:lang w:val="en-CA"/>
        </w:rPr>
        <w:t>ing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from languishing (the absence of </w:t>
      </w:r>
      <w:r w:rsidR="00F6225A" w:rsidRPr="00C33126">
        <w:rPr>
          <w:rFonts w:ascii="Arial" w:hAnsi="Arial" w:cs="Arial"/>
          <w:sz w:val="22"/>
          <w:szCs w:val="22"/>
          <w:lang w:val="en-CA"/>
        </w:rPr>
        <w:t>PMH</w:t>
      </w:r>
      <w:r w:rsidR="00FA6A76" w:rsidRPr="00C33126">
        <w:rPr>
          <w:rFonts w:ascii="Arial" w:hAnsi="Arial" w:cs="Arial"/>
          <w:sz w:val="22"/>
          <w:szCs w:val="22"/>
          <w:lang w:val="en-CA"/>
        </w:rPr>
        <w:t>)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2635FF" w:rsidRPr="00C33126">
        <w:rPr>
          <w:rFonts w:ascii="Arial" w:hAnsi="Arial" w:cs="Arial"/>
          <w:sz w:val="22"/>
          <w:szCs w:val="22"/>
          <w:lang w:val="en-CA"/>
        </w:rPr>
        <w:t>to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flourishing (high levels of </w:t>
      </w:r>
      <w:r w:rsidR="00F6225A" w:rsidRPr="00C33126">
        <w:rPr>
          <w:rFonts w:ascii="Arial" w:hAnsi="Arial" w:cs="Arial"/>
          <w:sz w:val="22"/>
          <w:szCs w:val="22"/>
          <w:lang w:val="en-CA"/>
        </w:rPr>
        <w:t>PMH</w:t>
      </w:r>
      <w:r w:rsidR="004E2C3E" w:rsidRPr="00C33126">
        <w:rPr>
          <w:rFonts w:ascii="Arial" w:hAnsi="Arial" w:cs="Arial"/>
          <w:sz w:val="22"/>
          <w:szCs w:val="22"/>
          <w:lang w:val="en-CA"/>
        </w:rPr>
        <w:t>). No studies have explored this continuum in autistic youth, despite support for its use in young people (</w:t>
      </w:r>
      <w:r w:rsidR="00955754" w:rsidRPr="00C33126">
        <w:rPr>
          <w:rFonts w:ascii="Arial" w:hAnsi="Arial" w:cs="Arial"/>
          <w:sz w:val="22"/>
          <w:szCs w:val="22"/>
          <w:lang w:val="en-CA"/>
        </w:rPr>
        <w:t>Keyes, 200</w:t>
      </w:r>
      <w:r w:rsidR="00364B60" w:rsidRPr="00C33126">
        <w:rPr>
          <w:rFonts w:ascii="Arial" w:hAnsi="Arial" w:cs="Arial"/>
          <w:sz w:val="22"/>
          <w:szCs w:val="22"/>
          <w:lang w:val="en-CA"/>
        </w:rPr>
        <w:t>6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). Positive Youth Development </w:t>
      </w:r>
      <w:r w:rsidR="00593A0E" w:rsidRPr="00C33126">
        <w:rPr>
          <w:rFonts w:ascii="Arial" w:hAnsi="Arial" w:cs="Arial"/>
          <w:sz w:val="22"/>
          <w:szCs w:val="22"/>
          <w:lang w:val="en-CA"/>
        </w:rPr>
        <w:t xml:space="preserve">(PYD) </w:t>
      </w:r>
      <w:r w:rsidR="004E2C3E" w:rsidRPr="00C33126">
        <w:rPr>
          <w:rFonts w:ascii="Arial" w:hAnsi="Arial" w:cs="Arial"/>
          <w:sz w:val="22"/>
          <w:szCs w:val="22"/>
          <w:lang w:val="en-CA"/>
        </w:rPr>
        <w:t>frameworks posit that youth experience more positive outcomes when there is an alignment between an individual’s strengths (e.g., adaptive behaviours) and ecological assets (e.g., environmental supports</w:t>
      </w:r>
      <w:r w:rsidR="00512152" w:rsidRPr="00C33126">
        <w:rPr>
          <w:rFonts w:ascii="Arial" w:hAnsi="Arial" w:cs="Arial"/>
          <w:sz w:val="22"/>
          <w:szCs w:val="22"/>
          <w:lang w:val="en-CA"/>
        </w:rPr>
        <w:t xml:space="preserve">; </w:t>
      </w:r>
      <w:r w:rsidR="004E2C3E" w:rsidRPr="00C33126">
        <w:rPr>
          <w:rFonts w:ascii="Arial" w:hAnsi="Arial" w:cs="Arial"/>
          <w:sz w:val="22"/>
          <w:szCs w:val="22"/>
        </w:rPr>
        <w:t xml:space="preserve">Lerner et al., 2010), including in youth with autism (Weiss &amp; Burnham </w:t>
      </w:r>
      <w:proofErr w:type="spellStart"/>
      <w:r w:rsidR="004E2C3E" w:rsidRPr="00C33126">
        <w:rPr>
          <w:rFonts w:ascii="Arial" w:hAnsi="Arial" w:cs="Arial"/>
          <w:sz w:val="22"/>
          <w:szCs w:val="22"/>
        </w:rPr>
        <w:t>Riosa</w:t>
      </w:r>
      <w:proofErr w:type="spellEnd"/>
      <w:r w:rsidR="004E2C3E" w:rsidRPr="00C33126">
        <w:rPr>
          <w:rFonts w:ascii="Arial" w:hAnsi="Arial" w:cs="Arial"/>
          <w:sz w:val="22"/>
          <w:szCs w:val="22"/>
        </w:rPr>
        <w:t>,</w:t>
      </w:r>
      <w:r w:rsidR="00E47E55" w:rsidRPr="00C33126">
        <w:rPr>
          <w:rFonts w:ascii="Arial" w:hAnsi="Arial" w:cs="Arial"/>
          <w:sz w:val="22"/>
          <w:szCs w:val="22"/>
        </w:rPr>
        <w:t xml:space="preserve"> </w:t>
      </w:r>
      <w:r w:rsidR="00424401" w:rsidRPr="00C33126">
        <w:rPr>
          <w:rFonts w:ascii="Arial" w:hAnsi="Arial" w:cs="Arial"/>
          <w:sz w:val="22"/>
          <w:szCs w:val="22"/>
        </w:rPr>
        <w:t>2015</w:t>
      </w:r>
      <w:r w:rsidR="004E2C3E" w:rsidRPr="00C33126">
        <w:rPr>
          <w:rFonts w:ascii="Arial" w:hAnsi="Arial" w:cs="Arial"/>
          <w:sz w:val="22"/>
          <w:szCs w:val="22"/>
        </w:rPr>
        <w:t>).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80637C" w:rsidRPr="00C33126">
        <w:rPr>
          <w:rFonts w:ascii="Arial" w:hAnsi="Arial" w:cs="Arial"/>
          <w:sz w:val="22"/>
          <w:szCs w:val="22"/>
          <w:lang w:val="en-CA"/>
        </w:rPr>
        <w:t>The current study aims t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o determine the individual and ecological correlates </w:t>
      </w:r>
      <w:r w:rsidR="00326A4F" w:rsidRPr="00C33126">
        <w:rPr>
          <w:rFonts w:ascii="Arial" w:hAnsi="Arial" w:cs="Arial"/>
          <w:sz w:val="22"/>
          <w:szCs w:val="22"/>
          <w:lang w:val="en-CA"/>
        </w:rPr>
        <w:t xml:space="preserve">of </w:t>
      </w:r>
      <w:r w:rsidR="00F6225A" w:rsidRPr="00C33126">
        <w:rPr>
          <w:rFonts w:ascii="Arial" w:hAnsi="Arial" w:cs="Arial"/>
          <w:sz w:val="22"/>
          <w:szCs w:val="22"/>
          <w:lang w:val="en-CA"/>
        </w:rPr>
        <w:t>PMH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in autistic youth. </w:t>
      </w:r>
    </w:p>
    <w:p w14:paraId="2B80FB4E" w14:textId="77777777" w:rsidR="004E2C3E" w:rsidRPr="00C33126" w:rsidRDefault="004E2C3E" w:rsidP="004E2C3E">
      <w:pPr>
        <w:rPr>
          <w:rFonts w:ascii="Arial" w:hAnsi="Arial" w:cs="Arial"/>
          <w:sz w:val="22"/>
          <w:szCs w:val="22"/>
          <w:lang w:val="en-CA"/>
        </w:rPr>
      </w:pPr>
    </w:p>
    <w:p w14:paraId="0E35A5EC" w14:textId="43B9C7EF" w:rsidR="004E2C3E" w:rsidRPr="00C33126" w:rsidRDefault="004E2C3E" w:rsidP="004E2C3E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Method: 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Data were collected from 137 </w:t>
      </w:r>
      <w:r w:rsidR="00FB2737" w:rsidRPr="00C33126">
        <w:rPr>
          <w:rFonts w:ascii="Arial" w:hAnsi="Arial" w:cs="Arial"/>
          <w:sz w:val="22"/>
          <w:szCs w:val="22"/>
          <w:lang w:val="en-CA"/>
        </w:rPr>
        <w:t xml:space="preserve">family </w:t>
      </w:r>
      <w:r w:rsidRPr="00C33126">
        <w:rPr>
          <w:rFonts w:ascii="Arial" w:hAnsi="Arial" w:cs="Arial"/>
          <w:sz w:val="22"/>
          <w:szCs w:val="22"/>
          <w:lang w:val="en-CA"/>
        </w:rPr>
        <w:t>caregivers of youth</w:t>
      </w:r>
      <w:r w:rsidR="00EA6318" w:rsidRPr="00C33126">
        <w:rPr>
          <w:rFonts w:ascii="Arial" w:hAnsi="Arial" w:cs="Arial"/>
          <w:sz w:val="22"/>
          <w:szCs w:val="22"/>
          <w:lang w:val="en-CA"/>
        </w:rPr>
        <w:t xml:space="preserve"> between 11 and 22 years of age (</w:t>
      </w:r>
      <w:r w:rsidR="00EA6318" w:rsidRPr="00C33126">
        <w:rPr>
          <w:rFonts w:ascii="Arial" w:hAnsi="Arial" w:cs="Arial"/>
          <w:i/>
          <w:iCs/>
          <w:sz w:val="22"/>
          <w:szCs w:val="22"/>
          <w:lang w:val="en-CA"/>
        </w:rPr>
        <w:t>M</w:t>
      </w:r>
      <w:r w:rsidR="00EA6318" w:rsidRPr="00C33126">
        <w:rPr>
          <w:rFonts w:ascii="Arial" w:hAnsi="Arial" w:cs="Arial"/>
          <w:sz w:val="22"/>
          <w:szCs w:val="22"/>
          <w:lang w:val="en-CA"/>
        </w:rPr>
        <w:t xml:space="preserve"> = 16.81, </w:t>
      </w:r>
      <w:r w:rsidR="00EA6318" w:rsidRPr="00C33126">
        <w:rPr>
          <w:rFonts w:ascii="Arial" w:hAnsi="Arial" w:cs="Arial"/>
          <w:i/>
          <w:iCs/>
          <w:sz w:val="22"/>
          <w:szCs w:val="22"/>
          <w:lang w:val="en-CA"/>
        </w:rPr>
        <w:t>SD</w:t>
      </w:r>
      <w:r w:rsidR="00EA6318" w:rsidRPr="00C33126">
        <w:rPr>
          <w:rFonts w:ascii="Arial" w:hAnsi="Arial" w:cs="Arial"/>
          <w:sz w:val="22"/>
          <w:szCs w:val="22"/>
          <w:lang w:val="en-CA"/>
        </w:rPr>
        <w:t xml:space="preserve"> = 3.21, 77% male)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 with a diagnosis of autism and intellectual disability in Ontario (Canada). Caregivers </w:t>
      </w:r>
      <w:r w:rsidR="00BF1523" w:rsidRPr="00C33126">
        <w:rPr>
          <w:rFonts w:ascii="Arial" w:hAnsi="Arial" w:cs="Arial"/>
          <w:sz w:val="22"/>
          <w:szCs w:val="22"/>
          <w:lang w:val="en-CA"/>
        </w:rPr>
        <w:t>completed surveys on their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 children’s adaptive behaviours (</w:t>
      </w:r>
      <w:proofErr w:type="spellStart"/>
      <w:r w:rsidRPr="00C33126">
        <w:rPr>
          <w:rFonts w:ascii="Arial" w:hAnsi="Arial" w:cs="Arial"/>
          <w:sz w:val="22"/>
          <w:szCs w:val="22"/>
          <w:lang w:val="en-CA"/>
        </w:rPr>
        <w:t>Maenner</w:t>
      </w:r>
      <w:proofErr w:type="spellEnd"/>
      <w:r w:rsidRPr="00C33126">
        <w:rPr>
          <w:rFonts w:ascii="Arial" w:hAnsi="Arial" w:cs="Arial"/>
          <w:sz w:val="22"/>
          <w:szCs w:val="22"/>
          <w:lang w:val="en-CA"/>
        </w:rPr>
        <w:t xml:space="preserve"> et al., 201</w:t>
      </w:r>
      <w:r w:rsidR="00AC0A02" w:rsidRPr="00C33126">
        <w:rPr>
          <w:rFonts w:ascii="Arial" w:hAnsi="Arial" w:cs="Arial"/>
          <w:sz w:val="22"/>
          <w:szCs w:val="22"/>
          <w:lang w:val="en-CA"/>
        </w:rPr>
        <w:t>3</w:t>
      </w:r>
      <w:r w:rsidRPr="00C33126">
        <w:rPr>
          <w:rFonts w:ascii="Arial" w:hAnsi="Arial" w:cs="Arial"/>
          <w:sz w:val="22"/>
          <w:szCs w:val="22"/>
          <w:lang w:val="en-CA"/>
        </w:rPr>
        <w:t>; Mazurek et al., 201</w:t>
      </w:r>
      <w:r w:rsidR="004E2807" w:rsidRPr="00C33126">
        <w:rPr>
          <w:rFonts w:ascii="Arial" w:hAnsi="Arial" w:cs="Arial"/>
          <w:sz w:val="22"/>
          <w:szCs w:val="22"/>
          <w:lang w:val="en-CA"/>
        </w:rPr>
        <w:t>2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), mental health problems (Goodman, </w:t>
      </w:r>
      <w:r w:rsidR="00823205" w:rsidRPr="00C33126">
        <w:rPr>
          <w:rFonts w:ascii="Arial" w:hAnsi="Arial" w:cs="Arial"/>
          <w:sz w:val="22"/>
          <w:szCs w:val="22"/>
          <w:lang w:val="en-CA"/>
        </w:rPr>
        <w:t>1997</w:t>
      </w:r>
      <w:r w:rsidRPr="00C33126">
        <w:rPr>
          <w:rFonts w:ascii="Arial" w:hAnsi="Arial" w:cs="Arial"/>
          <w:sz w:val="22"/>
          <w:szCs w:val="22"/>
          <w:lang w:val="en-CA"/>
        </w:rPr>
        <w:t>), and ecological resources (</w:t>
      </w:r>
      <w:proofErr w:type="spellStart"/>
      <w:r w:rsidRPr="00C33126">
        <w:rPr>
          <w:rFonts w:ascii="Arial" w:hAnsi="Arial" w:cs="Arial"/>
          <w:sz w:val="22"/>
          <w:szCs w:val="22"/>
          <w:lang w:val="en-CA"/>
        </w:rPr>
        <w:t>Coster</w:t>
      </w:r>
      <w:proofErr w:type="spellEnd"/>
      <w:r w:rsidRPr="00C33126">
        <w:rPr>
          <w:rFonts w:ascii="Arial" w:hAnsi="Arial" w:cs="Arial"/>
          <w:sz w:val="22"/>
          <w:szCs w:val="22"/>
          <w:lang w:val="en-CA"/>
        </w:rPr>
        <w:t xml:space="preserve"> et al., 20</w:t>
      </w:r>
      <w:r w:rsidR="004E15BF" w:rsidRPr="00C33126">
        <w:rPr>
          <w:rFonts w:ascii="Arial" w:hAnsi="Arial" w:cs="Arial"/>
          <w:sz w:val="22"/>
          <w:szCs w:val="22"/>
          <w:lang w:val="en-CA"/>
        </w:rPr>
        <w:t>12</w:t>
      </w:r>
      <w:r w:rsidRPr="00C33126">
        <w:rPr>
          <w:rFonts w:ascii="Arial" w:hAnsi="Arial" w:cs="Arial"/>
          <w:sz w:val="22"/>
          <w:szCs w:val="22"/>
          <w:lang w:val="en-CA"/>
        </w:rPr>
        <w:t>; Byles et al.</w:t>
      </w:r>
      <w:r w:rsidR="000D06ED" w:rsidRPr="00C33126">
        <w:rPr>
          <w:rFonts w:ascii="Arial" w:hAnsi="Arial" w:cs="Arial"/>
          <w:sz w:val="22"/>
          <w:szCs w:val="22"/>
          <w:lang w:val="en-CA"/>
        </w:rPr>
        <w:t xml:space="preserve">, 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1998; Emerson et al., 2006). </w:t>
      </w:r>
      <w:r w:rsidR="008913D4" w:rsidRPr="00C33126">
        <w:rPr>
          <w:rFonts w:ascii="Arial" w:hAnsi="Arial" w:cs="Arial"/>
          <w:sz w:val="22"/>
          <w:szCs w:val="22"/>
          <w:lang w:val="en-CA"/>
        </w:rPr>
        <w:t>PMH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 was measured using the </w:t>
      </w:r>
      <w:r w:rsidR="00A26727">
        <w:rPr>
          <w:rFonts w:ascii="Arial" w:hAnsi="Arial" w:cs="Arial"/>
          <w:sz w:val="22"/>
          <w:szCs w:val="22"/>
          <w:lang w:val="en-CA"/>
        </w:rPr>
        <w:t>S</w:t>
      </w:r>
      <w:r w:rsidRPr="00C33126">
        <w:rPr>
          <w:rFonts w:ascii="Arial" w:hAnsi="Arial" w:cs="Arial"/>
          <w:sz w:val="22"/>
          <w:szCs w:val="22"/>
          <w:lang w:val="en-CA"/>
        </w:rPr>
        <w:t>ix Cs of PYD</w:t>
      </w:r>
      <w:r w:rsidR="00521B83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Pr="00C33126">
        <w:rPr>
          <w:rFonts w:ascii="Arial" w:hAnsi="Arial" w:cs="Arial"/>
          <w:sz w:val="22"/>
          <w:szCs w:val="22"/>
          <w:lang w:val="en-CA"/>
        </w:rPr>
        <w:t>(</w:t>
      </w:r>
      <w:r w:rsidR="00521B83" w:rsidRPr="00C33126">
        <w:rPr>
          <w:rFonts w:ascii="Arial" w:hAnsi="Arial" w:cs="Arial"/>
          <w:sz w:val="22"/>
          <w:szCs w:val="22"/>
          <w:lang w:val="en-CA"/>
        </w:rPr>
        <w:t>Caring, Character, Contribution, Competence, Confidence, Connectedness</w:t>
      </w:r>
      <w:r w:rsidRPr="00C33126">
        <w:rPr>
          <w:rFonts w:ascii="Arial" w:hAnsi="Arial" w:cs="Arial"/>
          <w:sz w:val="22"/>
          <w:szCs w:val="22"/>
          <w:lang w:val="en-CA"/>
        </w:rPr>
        <w:t>; Lerner</w:t>
      </w:r>
      <w:r w:rsidR="00412FC0" w:rsidRPr="00C33126">
        <w:rPr>
          <w:rFonts w:ascii="Arial" w:hAnsi="Arial" w:cs="Arial"/>
          <w:sz w:val="22"/>
          <w:szCs w:val="22"/>
          <w:lang w:val="en-CA"/>
        </w:rPr>
        <w:t xml:space="preserve"> et al.</w:t>
      </w:r>
      <w:r w:rsidRPr="00C33126">
        <w:rPr>
          <w:rFonts w:ascii="Arial" w:hAnsi="Arial" w:cs="Arial"/>
          <w:sz w:val="22"/>
          <w:szCs w:val="22"/>
          <w:lang w:val="en-CA"/>
        </w:rPr>
        <w:t>, 2005)</w:t>
      </w:r>
      <w:r w:rsidR="003F44D7" w:rsidRPr="00C33126">
        <w:rPr>
          <w:rFonts w:ascii="Arial" w:hAnsi="Arial" w:cs="Arial"/>
          <w:sz w:val="22"/>
          <w:szCs w:val="22"/>
          <w:lang w:val="en-CA"/>
        </w:rPr>
        <w:t xml:space="preserve">, and </w:t>
      </w:r>
      <w:r w:rsidR="0015416E" w:rsidRPr="00C33126">
        <w:rPr>
          <w:rFonts w:ascii="Arial" w:hAnsi="Arial" w:cs="Arial"/>
          <w:sz w:val="22"/>
          <w:szCs w:val="22"/>
          <w:lang w:val="en-CA"/>
        </w:rPr>
        <w:t xml:space="preserve">three </w:t>
      </w:r>
      <w:r w:rsidR="003F44D7" w:rsidRPr="00C33126">
        <w:rPr>
          <w:rFonts w:ascii="Arial" w:hAnsi="Arial" w:cs="Arial"/>
          <w:sz w:val="22"/>
          <w:szCs w:val="22"/>
          <w:lang w:val="en-CA"/>
        </w:rPr>
        <w:t>c</w:t>
      </w:r>
      <w:r w:rsidRPr="00C33126">
        <w:rPr>
          <w:rFonts w:ascii="Arial" w:hAnsi="Arial" w:cs="Arial"/>
          <w:sz w:val="22"/>
          <w:szCs w:val="22"/>
          <w:lang w:val="en-CA"/>
        </w:rPr>
        <w:t>ategories were created based on the number that were endorsed, similar to strategies</w:t>
      </w:r>
      <w:r w:rsidR="001E4CC0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Pr="00C33126">
        <w:rPr>
          <w:rFonts w:ascii="Arial" w:hAnsi="Arial" w:cs="Arial"/>
          <w:sz w:val="22"/>
          <w:szCs w:val="22"/>
          <w:lang w:val="en-CA"/>
        </w:rPr>
        <w:t>categoriz</w:t>
      </w:r>
      <w:r w:rsidR="001E4CC0" w:rsidRPr="00C33126">
        <w:rPr>
          <w:rFonts w:ascii="Arial" w:hAnsi="Arial" w:cs="Arial"/>
          <w:sz w:val="22"/>
          <w:szCs w:val="22"/>
          <w:lang w:val="en-CA"/>
        </w:rPr>
        <w:t>ing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F0573E" w:rsidRPr="00C33126">
        <w:rPr>
          <w:rFonts w:ascii="Arial" w:hAnsi="Arial" w:cs="Arial"/>
          <w:sz w:val="22"/>
          <w:szCs w:val="22"/>
          <w:lang w:val="en-CA"/>
        </w:rPr>
        <w:t>PMH</w:t>
      </w:r>
      <w:r w:rsidRPr="00C33126">
        <w:rPr>
          <w:rFonts w:ascii="Arial" w:hAnsi="Arial" w:cs="Arial"/>
          <w:sz w:val="22"/>
          <w:szCs w:val="22"/>
          <w:lang w:val="en-CA"/>
        </w:rPr>
        <w:t xml:space="preserve"> in adults (</w:t>
      </w:r>
      <w:r w:rsidR="008C0277" w:rsidRPr="00C33126">
        <w:rPr>
          <w:rFonts w:ascii="Arial" w:hAnsi="Arial" w:cs="Arial"/>
          <w:sz w:val="22"/>
          <w:szCs w:val="22"/>
          <w:lang w:val="en-CA"/>
        </w:rPr>
        <w:t>Keyes, 2002</w:t>
      </w:r>
      <w:r w:rsidRPr="00C33126">
        <w:rPr>
          <w:rFonts w:ascii="Arial" w:hAnsi="Arial" w:cs="Arial"/>
          <w:sz w:val="22"/>
          <w:szCs w:val="22"/>
          <w:lang w:val="en-CA"/>
        </w:rPr>
        <w:t>).</w:t>
      </w:r>
    </w:p>
    <w:p w14:paraId="3B2B0642" w14:textId="77777777" w:rsidR="004E2C3E" w:rsidRPr="00C33126" w:rsidRDefault="004E2C3E" w:rsidP="004E2C3E">
      <w:pPr>
        <w:rPr>
          <w:rFonts w:ascii="Arial" w:hAnsi="Arial" w:cs="Arial"/>
          <w:sz w:val="22"/>
          <w:szCs w:val="22"/>
          <w:lang w:val="en-CA"/>
        </w:rPr>
      </w:pPr>
    </w:p>
    <w:p w14:paraId="7A4C5419" w14:textId="3A823F90" w:rsidR="004A647A" w:rsidRPr="00C33126" w:rsidRDefault="004E2C3E" w:rsidP="004A647A">
      <w:pPr>
        <w:rPr>
          <w:rFonts w:ascii="Arial" w:hAnsi="Arial" w:cs="Arial"/>
          <w:sz w:val="22"/>
          <w:szCs w:val="22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Results:</w:t>
      </w:r>
      <w:r w:rsidR="000B5E75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4A647A" w:rsidRPr="00C33126">
        <w:rPr>
          <w:rFonts w:ascii="Arial" w:hAnsi="Arial" w:cs="Arial"/>
          <w:sz w:val="22"/>
          <w:szCs w:val="22"/>
        </w:rPr>
        <w:t xml:space="preserve">Adaptive behaviour and </w:t>
      </w:r>
      <w:proofErr w:type="spellStart"/>
      <w:r w:rsidR="004A647A" w:rsidRPr="00C33126">
        <w:rPr>
          <w:rFonts w:ascii="Arial" w:hAnsi="Arial" w:cs="Arial"/>
          <w:sz w:val="22"/>
          <w:szCs w:val="22"/>
        </w:rPr>
        <w:t>sociocommunicative</w:t>
      </w:r>
      <w:proofErr w:type="spellEnd"/>
      <w:r w:rsidR="004A647A" w:rsidRPr="00C33126">
        <w:rPr>
          <w:rFonts w:ascii="Arial" w:hAnsi="Arial" w:cs="Arial"/>
          <w:sz w:val="22"/>
          <w:szCs w:val="22"/>
        </w:rPr>
        <w:t xml:space="preserve"> and functional cognitive ability were significantly higher in the flourishing group compared to the moderate well-being group (</w:t>
      </w:r>
      <w:r w:rsidR="00A222B5" w:rsidRPr="00C33126">
        <w:rPr>
          <w:rFonts w:ascii="Arial" w:hAnsi="Arial" w:cs="Arial"/>
          <w:sz w:val="22"/>
          <w:szCs w:val="22"/>
        </w:rPr>
        <w:t xml:space="preserve">both </w:t>
      </w:r>
      <w:r w:rsidR="004A647A" w:rsidRPr="00C33126">
        <w:rPr>
          <w:rFonts w:ascii="Arial" w:hAnsi="Arial" w:cs="Arial"/>
          <w:i/>
          <w:iCs/>
          <w:sz w:val="22"/>
          <w:szCs w:val="22"/>
        </w:rPr>
        <w:t>p</w:t>
      </w:r>
      <w:r w:rsidR="004A647A" w:rsidRPr="00C33126">
        <w:rPr>
          <w:rFonts w:ascii="Arial" w:hAnsi="Arial" w:cs="Arial"/>
          <w:sz w:val="22"/>
          <w:szCs w:val="22"/>
        </w:rPr>
        <w:t xml:space="preserve"> &lt; 0.01), who in turn was higher than the languishing group (</w:t>
      </w:r>
      <w:r w:rsidR="00A222B5" w:rsidRPr="00C33126">
        <w:rPr>
          <w:rFonts w:ascii="Arial" w:hAnsi="Arial" w:cs="Arial"/>
          <w:sz w:val="22"/>
          <w:szCs w:val="22"/>
        </w:rPr>
        <w:t xml:space="preserve">both </w:t>
      </w:r>
      <w:r w:rsidR="004A647A" w:rsidRPr="00C33126">
        <w:rPr>
          <w:rFonts w:ascii="Arial" w:hAnsi="Arial" w:cs="Arial"/>
          <w:i/>
          <w:iCs/>
          <w:sz w:val="22"/>
          <w:szCs w:val="22"/>
        </w:rPr>
        <w:t>p</w:t>
      </w:r>
      <w:r w:rsidR="004A647A" w:rsidRPr="00C33126">
        <w:rPr>
          <w:rFonts w:ascii="Arial" w:hAnsi="Arial" w:cs="Arial"/>
          <w:sz w:val="22"/>
          <w:szCs w:val="22"/>
        </w:rPr>
        <w:t xml:space="preserve"> &lt; 0.01).</w:t>
      </w:r>
      <w:r w:rsidR="00CA17C7" w:rsidRPr="00C33126">
        <w:rPr>
          <w:rFonts w:ascii="Arial" w:hAnsi="Arial" w:cs="Arial"/>
          <w:sz w:val="22"/>
          <w:szCs w:val="22"/>
        </w:rPr>
        <w:t xml:space="preserve"> </w:t>
      </w:r>
      <w:r w:rsidR="004A647A" w:rsidRPr="00C33126">
        <w:rPr>
          <w:rFonts w:ascii="Arial" w:hAnsi="Arial" w:cs="Arial"/>
          <w:sz w:val="22"/>
          <w:szCs w:val="22"/>
        </w:rPr>
        <w:t xml:space="preserve">The languishing group had significantly higher severity of mental health problems compared to the flourishing and moderate well-being groups (both </w:t>
      </w:r>
      <w:r w:rsidR="004A647A" w:rsidRPr="00C33126">
        <w:rPr>
          <w:rFonts w:ascii="Arial" w:hAnsi="Arial" w:cs="Arial"/>
          <w:i/>
          <w:iCs/>
          <w:sz w:val="22"/>
          <w:szCs w:val="22"/>
        </w:rPr>
        <w:t xml:space="preserve">p </w:t>
      </w:r>
      <w:r w:rsidR="004A647A" w:rsidRPr="00C33126">
        <w:rPr>
          <w:rFonts w:ascii="Arial" w:hAnsi="Arial" w:cs="Arial"/>
          <w:sz w:val="22"/>
          <w:szCs w:val="22"/>
        </w:rPr>
        <w:t>&lt; 0.01), though the latter two groups did not differ from each other (</w:t>
      </w:r>
      <w:r w:rsidR="004A647A" w:rsidRPr="00C33126">
        <w:rPr>
          <w:rFonts w:ascii="Arial" w:hAnsi="Arial" w:cs="Arial"/>
          <w:i/>
          <w:iCs/>
          <w:sz w:val="22"/>
          <w:szCs w:val="22"/>
        </w:rPr>
        <w:t xml:space="preserve">p </w:t>
      </w:r>
      <w:r w:rsidR="004A647A" w:rsidRPr="00C33126">
        <w:rPr>
          <w:rFonts w:ascii="Arial" w:hAnsi="Arial" w:cs="Arial"/>
          <w:sz w:val="22"/>
          <w:szCs w:val="22"/>
        </w:rPr>
        <w:t xml:space="preserve">= 0.08). Similarly, the languishing group was reported to have lower rates of access to resources to enable participation in home activities (both </w:t>
      </w:r>
      <w:r w:rsidR="004A647A" w:rsidRPr="00C33126">
        <w:rPr>
          <w:rFonts w:ascii="Arial" w:hAnsi="Arial" w:cs="Arial"/>
          <w:i/>
          <w:iCs/>
          <w:sz w:val="22"/>
          <w:szCs w:val="22"/>
        </w:rPr>
        <w:t>p</w:t>
      </w:r>
      <w:r w:rsidR="00CA17C7" w:rsidRPr="00C33126">
        <w:rPr>
          <w:rFonts w:ascii="Arial" w:hAnsi="Arial" w:cs="Arial"/>
          <w:sz w:val="22"/>
          <w:szCs w:val="22"/>
        </w:rPr>
        <w:t xml:space="preserve"> </w:t>
      </w:r>
      <w:r w:rsidR="004A647A" w:rsidRPr="00C33126">
        <w:rPr>
          <w:rFonts w:ascii="Arial" w:hAnsi="Arial" w:cs="Arial"/>
          <w:sz w:val="22"/>
          <w:szCs w:val="22"/>
        </w:rPr>
        <w:t xml:space="preserve">&lt; </w:t>
      </w:r>
      <w:r w:rsidR="00CA17C7" w:rsidRPr="00C33126">
        <w:rPr>
          <w:rFonts w:ascii="Arial" w:hAnsi="Arial" w:cs="Arial"/>
          <w:sz w:val="22"/>
          <w:szCs w:val="22"/>
        </w:rPr>
        <w:t>0.01</w:t>
      </w:r>
      <w:r w:rsidR="004A647A" w:rsidRPr="00C33126">
        <w:rPr>
          <w:rFonts w:ascii="Arial" w:hAnsi="Arial" w:cs="Arial"/>
          <w:sz w:val="22"/>
          <w:szCs w:val="22"/>
        </w:rPr>
        <w:t>) and school (b</w:t>
      </w:r>
      <w:r w:rsidR="00CA17C7" w:rsidRPr="00C33126">
        <w:rPr>
          <w:rFonts w:ascii="Arial" w:hAnsi="Arial" w:cs="Arial"/>
          <w:sz w:val="22"/>
          <w:szCs w:val="22"/>
        </w:rPr>
        <w:t xml:space="preserve">oth </w:t>
      </w:r>
      <w:r w:rsidR="00CA17C7" w:rsidRPr="00C33126">
        <w:rPr>
          <w:rFonts w:ascii="Arial" w:hAnsi="Arial" w:cs="Arial"/>
          <w:i/>
          <w:iCs/>
          <w:sz w:val="22"/>
          <w:szCs w:val="22"/>
        </w:rPr>
        <w:t>p</w:t>
      </w:r>
      <w:r w:rsidR="004A647A" w:rsidRPr="00C33126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≤</m:t>
        </m:r>
      </m:oMath>
      <w:r w:rsidR="004A647A" w:rsidRPr="00C33126">
        <w:rPr>
          <w:rFonts w:ascii="Arial" w:hAnsi="Arial" w:cs="Arial"/>
          <w:sz w:val="22"/>
          <w:szCs w:val="22"/>
        </w:rPr>
        <w:t xml:space="preserve"> </w:t>
      </w:r>
      <w:r w:rsidR="00CA17C7" w:rsidRPr="00C33126">
        <w:rPr>
          <w:rFonts w:ascii="Arial" w:hAnsi="Arial" w:cs="Arial"/>
          <w:sz w:val="22"/>
          <w:szCs w:val="22"/>
        </w:rPr>
        <w:t>0.001</w:t>
      </w:r>
      <w:r w:rsidR="004A647A" w:rsidRPr="00C33126">
        <w:rPr>
          <w:rFonts w:ascii="Arial" w:hAnsi="Arial" w:cs="Arial"/>
          <w:sz w:val="22"/>
          <w:szCs w:val="22"/>
        </w:rPr>
        <w:t>) compared to both other groups, who did not differ from each other (</w:t>
      </w:r>
      <w:r w:rsidR="004A647A" w:rsidRPr="00C33126">
        <w:rPr>
          <w:rFonts w:ascii="Arial" w:hAnsi="Arial" w:cs="Arial"/>
          <w:i/>
          <w:iCs/>
          <w:sz w:val="22"/>
          <w:szCs w:val="22"/>
        </w:rPr>
        <w:t>p</w:t>
      </w:r>
      <w:r w:rsidR="004A647A" w:rsidRPr="00C33126">
        <w:rPr>
          <w:rFonts w:ascii="Arial" w:hAnsi="Arial" w:cs="Arial"/>
          <w:sz w:val="22"/>
          <w:szCs w:val="22"/>
        </w:rPr>
        <w:t xml:space="preserve"> &gt; </w:t>
      </w:r>
      <w:r w:rsidR="00CA17C7" w:rsidRPr="00C33126">
        <w:rPr>
          <w:rFonts w:ascii="Arial" w:hAnsi="Arial" w:cs="Arial"/>
          <w:sz w:val="22"/>
          <w:szCs w:val="22"/>
        </w:rPr>
        <w:t>0</w:t>
      </w:r>
      <w:r w:rsidR="004A647A" w:rsidRPr="00C33126">
        <w:rPr>
          <w:rFonts w:ascii="Arial" w:hAnsi="Arial" w:cs="Arial"/>
          <w:sz w:val="22"/>
          <w:szCs w:val="22"/>
        </w:rPr>
        <w:t>.05)</w:t>
      </w:r>
      <w:r w:rsidR="004A647A" w:rsidRPr="00C33126">
        <w:rPr>
          <w:rFonts w:ascii="Arial" w:hAnsi="Arial" w:cs="Arial"/>
          <w:sz w:val="22"/>
          <w:szCs w:val="22"/>
          <w:lang w:val="en-CA"/>
        </w:rPr>
        <w:t xml:space="preserve">. Parents of youth in the flourishing and moderate well-being groups reported higher rates of their </w:t>
      </w:r>
      <w:r w:rsidR="00CB401B" w:rsidRPr="00C33126">
        <w:rPr>
          <w:rFonts w:ascii="Arial" w:hAnsi="Arial" w:cs="Arial"/>
          <w:sz w:val="22"/>
          <w:szCs w:val="22"/>
          <w:lang w:val="en-CA"/>
        </w:rPr>
        <w:t>own self-efficacy</w:t>
      </w:r>
      <w:r w:rsidR="004A647A" w:rsidRPr="00C33126">
        <w:rPr>
          <w:rFonts w:ascii="Arial" w:hAnsi="Arial" w:cs="Arial"/>
          <w:sz w:val="22"/>
          <w:szCs w:val="22"/>
          <w:lang w:val="en-CA"/>
        </w:rPr>
        <w:t xml:space="preserve"> compared to parents of youth in the languishing group</w:t>
      </w:r>
      <w:r w:rsidR="007A3443" w:rsidRPr="00C33126">
        <w:rPr>
          <w:rFonts w:ascii="Arial" w:hAnsi="Arial" w:cs="Arial"/>
          <w:sz w:val="22"/>
          <w:szCs w:val="22"/>
          <w:lang w:val="en-CA"/>
        </w:rPr>
        <w:t xml:space="preserve"> (both p &lt; 0.0</w:t>
      </w:r>
      <w:r w:rsidR="0044777B" w:rsidRPr="00C33126">
        <w:rPr>
          <w:rFonts w:ascii="Arial" w:hAnsi="Arial" w:cs="Arial"/>
          <w:sz w:val="22"/>
          <w:szCs w:val="22"/>
          <w:lang w:val="en-CA"/>
        </w:rPr>
        <w:t>1</w:t>
      </w:r>
      <w:r w:rsidR="00160FD9" w:rsidRPr="00C33126">
        <w:rPr>
          <w:rFonts w:ascii="Arial" w:hAnsi="Arial" w:cs="Arial"/>
          <w:sz w:val="22"/>
          <w:szCs w:val="22"/>
          <w:lang w:val="en-CA"/>
        </w:rPr>
        <w:t>)</w:t>
      </w:r>
      <w:r w:rsidR="00223670" w:rsidRPr="00C33126">
        <w:rPr>
          <w:rFonts w:ascii="Arial" w:hAnsi="Arial" w:cs="Arial"/>
          <w:sz w:val="22"/>
          <w:szCs w:val="22"/>
          <w:lang w:val="en-CA"/>
        </w:rPr>
        <w:t>,</w:t>
      </w:r>
      <w:r w:rsidR="00160FD9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4A647A" w:rsidRPr="00C33126">
        <w:rPr>
          <w:rFonts w:ascii="Arial" w:hAnsi="Arial" w:cs="Arial"/>
          <w:sz w:val="22"/>
          <w:szCs w:val="22"/>
          <w:lang w:val="en-CA"/>
        </w:rPr>
        <w:t>though they did not differ from each other (</w:t>
      </w:r>
      <w:r w:rsidR="004A647A" w:rsidRPr="00C33126">
        <w:rPr>
          <w:rFonts w:ascii="Arial" w:hAnsi="Arial" w:cs="Arial"/>
          <w:i/>
          <w:iCs/>
          <w:sz w:val="22"/>
          <w:szCs w:val="22"/>
          <w:lang w:val="en-CA"/>
        </w:rPr>
        <w:t xml:space="preserve">p </w:t>
      </w:r>
      <w:r w:rsidR="00F01C47" w:rsidRPr="00C33126">
        <w:rPr>
          <w:rFonts w:ascii="Arial" w:hAnsi="Arial" w:cs="Arial"/>
          <w:sz w:val="22"/>
          <w:szCs w:val="22"/>
          <w:lang w:val="en-CA"/>
        </w:rPr>
        <w:t>&gt;</w:t>
      </w:r>
      <w:r w:rsidR="004A647A" w:rsidRPr="00C33126">
        <w:rPr>
          <w:rFonts w:ascii="Arial" w:hAnsi="Arial" w:cs="Arial"/>
          <w:sz w:val="22"/>
          <w:szCs w:val="22"/>
          <w:lang w:val="en-CA"/>
        </w:rPr>
        <w:t xml:space="preserve"> 0.</w:t>
      </w:r>
      <w:r w:rsidR="00F02B0D" w:rsidRPr="00C33126">
        <w:rPr>
          <w:rFonts w:ascii="Arial" w:hAnsi="Arial" w:cs="Arial"/>
          <w:sz w:val="22"/>
          <w:szCs w:val="22"/>
          <w:lang w:val="en-CA"/>
        </w:rPr>
        <w:t>05)</w:t>
      </w:r>
      <w:r w:rsidR="004A647A" w:rsidRPr="00C33126">
        <w:rPr>
          <w:rFonts w:ascii="Arial" w:hAnsi="Arial" w:cs="Arial"/>
          <w:sz w:val="22"/>
          <w:szCs w:val="22"/>
          <w:lang w:val="en-CA"/>
        </w:rPr>
        <w:t>. The moderate well-being group had significantly greater family functioning than the languishing group (</w:t>
      </w:r>
      <w:r w:rsidR="004A647A" w:rsidRPr="00C33126">
        <w:rPr>
          <w:rFonts w:ascii="Arial" w:hAnsi="Arial" w:cs="Arial"/>
          <w:i/>
          <w:iCs/>
          <w:sz w:val="22"/>
          <w:szCs w:val="22"/>
          <w:lang w:val="en-CA"/>
        </w:rPr>
        <w:t xml:space="preserve">p </w:t>
      </w:r>
      <w:r w:rsidR="004A647A" w:rsidRPr="00C33126">
        <w:rPr>
          <w:rFonts w:ascii="Arial" w:hAnsi="Arial" w:cs="Arial"/>
          <w:sz w:val="22"/>
          <w:szCs w:val="22"/>
          <w:lang w:val="en-CA"/>
        </w:rPr>
        <w:t>&lt; 0.05</w:t>
      </w:r>
      <w:r w:rsidR="00CC2CAD" w:rsidRPr="00C33126">
        <w:rPr>
          <w:rFonts w:ascii="Arial" w:hAnsi="Arial" w:cs="Arial"/>
          <w:sz w:val="22"/>
          <w:szCs w:val="22"/>
          <w:lang w:val="en-CA"/>
        </w:rPr>
        <w:t xml:space="preserve">), </w:t>
      </w:r>
      <w:r w:rsidR="005874FA" w:rsidRPr="00C33126">
        <w:rPr>
          <w:rFonts w:ascii="Arial" w:hAnsi="Arial" w:cs="Arial"/>
          <w:sz w:val="22"/>
          <w:szCs w:val="22"/>
          <w:lang w:val="en-CA"/>
        </w:rPr>
        <w:t>though</w:t>
      </w:r>
      <w:r w:rsidR="004A647A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5874FA" w:rsidRPr="00C33126">
        <w:rPr>
          <w:rFonts w:ascii="Arial" w:hAnsi="Arial" w:cs="Arial"/>
          <w:sz w:val="22"/>
          <w:szCs w:val="22"/>
          <w:lang w:val="en-CA"/>
        </w:rPr>
        <w:t>there was no difference between the</w:t>
      </w:r>
      <w:r w:rsidR="004A647A" w:rsidRPr="00C33126">
        <w:rPr>
          <w:rFonts w:ascii="Arial" w:hAnsi="Arial" w:cs="Arial"/>
          <w:sz w:val="22"/>
          <w:szCs w:val="22"/>
          <w:lang w:val="en-CA"/>
        </w:rPr>
        <w:t xml:space="preserve"> flourishing and moderate well-being group</w:t>
      </w:r>
      <w:r w:rsidR="009C6397" w:rsidRPr="00C33126">
        <w:rPr>
          <w:rFonts w:ascii="Arial" w:hAnsi="Arial" w:cs="Arial"/>
          <w:sz w:val="22"/>
          <w:szCs w:val="22"/>
          <w:lang w:val="en-CA"/>
        </w:rPr>
        <w:t>s</w:t>
      </w:r>
      <w:r w:rsidR="00310492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4A647A" w:rsidRPr="00C33126">
        <w:rPr>
          <w:rFonts w:ascii="Arial" w:hAnsi="Arial" w:cs="Arial"/>
          <w:sz w:val="22"/>
          <w:szCs w:val="22"/>
          <w:lang w:val="en-CA"/>
        </w:rPr>
        <w:t>(</w:t>
      </w:r>
      <w:r w:rsidR="004A647A" w:rsidRPr="00C33126">
        <w:rPr>
          <w:rFonts w:ascii="Arial" w:hAnsi="Arial" w:cs="Arial"/>
          <w:i/>
          <w:iCs/>
          <w:sz w:val="22"/>
          <w:szCs w:val="22"/>
          <w:lang w:val="en-CA"/>
        </w:rPr>
        <w:t xml:space="preserve">p </w:t>
      </w:r>
      <w:r w:rsidR="004A647A" w:rsidRPr="00C33126">
        <w:rPr>
          <w:rFonts w:ascii="Arial" w:hAnsi="Arial" w:cs="Arial"/>
          <w:sz w:val="22"/>
          <w:szCs w:val="22"/>
          <w:lang w:val="en-CA"/>
        </w:rPr>
        <w:t>= 0.44) and flourishing and languishing groups (</w:t>
      </w:r>
      <w:r w:rsidR="004A647A" w:rsidRPr="00C33126">
        <w:rPr>
          <w:rFonts w:ascii="Arial" w:hAnsi="Arial" w:cs="Arial"/>
          <w:i/>
          <w:iCs/>
          <w:sz w:val="22"/>
          <w:szCs w:val="22"/>
          <w:lang w:val="en-CA"/>
        </w:rPr>
        <w:t xml:space="preserve">p </w:t>
      </w:r>
      <w:r w:rsidR="004A647A" w:rsidRPr="00C33126">
        <w:rPr>
          <w:rFonts w:ascii="Arial" w:hAnsi="Arial" w:cs="Arial"/>
          <w:sz w:val="22"/>
          <w:szCs w:val="22"/>
          <w:lang w:val="en-CA"/>
        </w:rPr>
        <w:t>= 0.1</w:t>
      </w:r>
      <w:r w:rsidR="00CC2CAD" w:rsidRPr="00C33126">
        <w:rPr>
          <w:rFonts w:ascii="Arial" w:hAnsi="Arial" w:cs="Arial"/>
          <w:sz w:val="22"/>
          <w:szCs w:val="22"/>
          <w:lang w:val="en-CA"/>
        </w:rPr>
        <w:t>5</w:t>
      </w:r>
      <w:r w:rsidR="004A647A" w:rsidRPr="00C33126">
        <w:rPr>
          <w:rFonts w:ascii="Arial" w:hAnsi="Arial" w:cs="Arial"/>
          <w:sz w:val="22"/>
          <w:szCs w:val="22"/>
          <w:lang w:val="en-CA"/>
        </w:rPr>
        <w:t xml:space="preserve">). </w:t>
      </w:r>
    </w:p>
    <w:p w14:paraId="5412E3A3" w14:textId="26B910A8" w:rsidR="004A647A" w:rsidRPr="00C33126" w:rsidRDefault="004A647A" w:rsidP="004E2C3E">
      <w:pPr>
        <w:rPr>
          <w:rFonts w:ascii="Arial" w:hAnsi="Arial" w:cs="Arial"/>
          <w:sz w:val="22"/>
          <w:szCs w:val="22"/>
          <w:lang w:val="en-CA"/>
        </w:rPr>
      </w:pPr>
    </w:p>
    <w:p w14:paraId="7005CF83" w14:textId="6E2557CC" w:rsidR="00C33126" w:rsidRDefault="00185DCC" w:rsidP="008B7F11">
      <w:pPr>
        <w:rPr>
          <w:rFonts w:ascii="Arial" w:hAnsi="Arial" w:cs="Arial"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Discussion/</w:t>
      </w:r>
      <w:r w:rsidR="004E2C3E"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Conclusions: 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For autistic youth, flourishing was associated with </w:t>
      </w:r>
      <w:r w:rsidR="00F57E4C" w:rsidRPr="00C33126">
        <w:rPr>
          <w:rFonts w:ascii="Arial" w:hAnsi="Arial" w:cs="Arial"/>
          <w:sz w:val="22"/>
          <w:szCs w:val="22"/>
          <w:lang w:val="en-CA"/>
        </w:rPr>
        <w:t>the highest</w:t>
      </w:r>
      <w:r w:rsidR="008007E9" w:rsidRPr="00C33126">
        <w:rPr>
          <w:rFonts w:ascii="Arial" w:hAnsi="Arial" w:cs="Arial"/>
          <w:sz w:val="22"/>
          <w:szCs w:val="22"/>
          <w:lang w:val="en-CA"/>
        </w:rPr>
        <w:t xml:space="preserve"> level of</w:t>
      </w:r>
      <w:r w:rsidR="009969DB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4E2C3E" w:rsidRPr="00C33126">
        <w:rPr>
          <w:rFonts w:ascii="Arial" w:hAnsi="Arial" w:cs="Arial"/>
          <w:sz w:val="22"/>
          <w:szCs w:val="22"/>
          <w:lang w:val="en-CA"/>
        </w:rPr>
        <w:t>adaptive behaviour</w:t>
      </w:r>
      <w:r w:rsidR="00244A65" w:rsidRPr="00C33126">
        <w:rPr>
          <w:rFonts w:ascii="Arial" w:hAnsi="Arial" w:cs="Arial"/>
          <w:sz w:val="22"/>
          <w:szCs w:val="22"/>
          <w:lang w:val="en-CA"/>
        </w:rPr>
        <w:t>s</w:t>
      </w:r>
      <w:r w:rsidR="00D94D21" w:rsidRPr="00C33126">
        <w:rPr>
          <w:rFonts w:ascii="Arial" w:hAnsi="Arial" w:cs="Arial"/>
          <w:sz w:val="22"/>
          <w:szCs w:val="22"/>
          <w:lang w:val="en-CA"/>
        </w:rPr>
        <w:t>,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244A65" w:rsidRPr="00C33126">
        <w:rPr>
          <w:rFonts w:ascii="Arial" w:hAnsi="Arial" w:cs="Arial"/>
          <w:sz w:val="22"/>
          <w:szCs w:val="22"/>
          <w:lang w:val="en-CA"/>
        </w:rPr>
        <w:t>and</w:t>
      </w:r>
      <w:r w:rsidR="00D94C82" w:rsidRPr="00C33126">
        <w:rPr>
          <w:rFonts w:ascii="Arial" w:hAnsi="Arial" w:cs="Arial"/>
          <w:sz w:val="22"/>
          <w:szCs w:val="22"/>
          <w:lang w:val="en-CA"/>
        </w:rPr>
        <w:t xml:space="preserve"> the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presence </w:t>
      </w:r>
      <w:r w:rsidR="00C62FE6" w:rsidRPr="00C33126">
        <w:rPr>
          <w:rFonts w:ascii="Arial" w:hAnsi="Arial" w:cs="Arial"/>
          <w:sz w:val="22"/>
          <w:szCs w:val="22"/>
          <w:lang w:val="en-CA"/>
        </w:rPr>
        <w:t>of any level</w:t>
      </w:r>
      <w:r w:rsidR="00A80367" w:rsidRPr="00C33126">
        <w:rPr>
          <w:rFonts w:ascii="Arial" w:hAnsi="Arial" w:cs="Arial"/>
          <w:sz w:val="22"/>
          <w:szCs w:val="22"/>
          <w:lang w:val="en-CA"/>
        </w:rPr>
        <w:t xml:space="preserve"> of</w:t>
      </w:r>
      <w:r w:rsidR="008A66D0" w:rsidRPr="00C33126">
        <w:rPr>
          <w:rFonts w:ascii="Arial" w:hAnsi="Arial" w:cs="Arial"/>
          <w:sz w:val="22"/>
          <w:szCs w:val="22"/>
          <w:lang w:val="en-CA"/>
        </w:rPr>
        <w:t xml:space="preserve"> </w:t>
      </w:r>
      <w:r w:rsidR="00C334BF" w:rsidRPr="00C33126">
        <w:rPr>
          <w:rFonts w:ascii="Arial" w:hAnsi="Arial" w:cs="Arial"/>
          <w:sz w:val="22"/>
          <w:szCs w:val="22"/>
          <w:lang w:val="en-CA"/>
        </w:rPr>
        <w:t>PMH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was</w:t>
      </w:r>
      <w:r w:rsidR="00AD189B" w:rsidRPr="00C33126">
        <w:rPr>
          <w:rFonts w:ascii="Arial" w:hAnsi="Arial" w:cs="Arial"/>
          <w:sz w:val="22"/>
          <w:szCs w:val="22"/>
          <w:lang w:val="en-CA"/>
        </w:rPr>
        <w:t xml:space="preserve"> associated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with </w:t>
      </w:r>
      <w:r w:rsidR="00AD189B" w:rsidRPr="00C33126">
        <w:rPr>
          <w:rFonts w:ascii="Arial" w:hAnsi="Arial" w:cs="Arial"/>
          <w:sz w:val="22"/>
          <w:szCs w:val="22"/>
          <w:lang w:val="en-CA"/>
        </w:rPr>
        <w:t>fewer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mental health problems, and </w:t>
      </w:r>
      <w:r w:rsidR="00CF4278" w:rsidRPr="00C33126">
        <w:rPr>
          <w:rFonts w:ascii="Arial" w:hAnsi="Arial" w:cs="Arial"/>
          <w:sz w:val="22"/>
          <w:szCs w:val="22"/>
          <w:lang w:val="en-CA"/>
        </w:rPr>
        <w:t>greater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parent </w:t>
      </w:r>
      <w:r w:rsidR="00C9271C" w:rsidRPr="00C33126">
        <w:rPr>
          <w:rFonts w:ascii="Arial" w:hAnsi="Arial" w:cs="Arial"/>
          <w:sz w:val="22"/>
          <w:szCs w:val="22"/>
          <w:lang w:val="en-CA"/>
        </w:rPr>
        <w:t>self-efficacy</w:t>
      </w:r>
      <w:r w:rsidR="0096090C" w:rsidRPr="00C33126">
        <w:rPr>
          <w:rFonts w:ascii="Arial" w:hAnsi="Arial" w:cs="Arial"/>
          <w:sz w:val="22"/>
          <w:szCs w:val="22"/>
          <w:lang w:val="en-CA"/>
        </w:rPr>
        <w:t>,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 family functioning</w:t>
      </w:r>
      <w:r w:rsidR="00714389" w:rsidRPr="00C33126">
        <w:rPr>
          <w:rFonts w:ascii="Arial" w:hAnsi="Arial" w:cs="Arial"/>
          <w:sz w:val="22"/>
          <w:szCs w:val="22"/>
          <w:lang w:val="en-CA"/>
        </w:rPr>
        <w:t>, and resources</w:t>
      </w:r>
      <w:r w:rsidR="006A6EF3" w:rsidRPr="00C33126">
        <w:rPr>
          <w:rFonts w:ascii="Arial" w:hAnsi="Arial" w:cs="Arial"/>
          <w:sz w:val="22"/>
          <w:szCs w:val="22"/>
          <w:lang w:val="en-CA"/>
        </w:rPr>
        <w:t>/</w:t>
      </w:r>
      <w:r w:rsidR="00757B84" w:rsidRPr="00C33126">
        <w:rPr>
          <w:rFonts w:ascii="Arial" w:hAnsi="Arial" w:cs="Arial"/>
          <w:sz w:val="22"/>
          <w:szCs w:val="22"/>
          <w:lang w:val="en-CA"/>
        </w:rPr>
        <w:t xml:space="preserve">support </w:t>
      </w:r>
      <w:r w:rsidR="00714389" w:rsidRPr="00C33126">
        <w:rPr>
          <w:rFonts w:ascii="Arial" w:hAnsi="Arial" w:cs="Arial"/>
          <w:sz w:val="22"/>
          <w:szCs w:val="22"/>
          <w:lang w:val="en-CA"/>
        </w:rPr>
        <w:t>at home and school</w:t>
      </w:r>
      <w:r w:rsidR="004E2C3E" w:rsidRPr="00C33126">
        <w:rPr>
          <w:rFonts w:ascii="Arial" w:hAnsi="Arial" w:cs="Arial"/>
          <w:sz w:val="22"/>
          <w:szCs w:val="22"/>
          <w:lang w:val="en-CA"/>
        </w:rPr>
        <w:t xml:space="preserve">. </w:t>
      </w:r>
      <w:r w:rsidR="00102038" w:rsidRPr="00C33126">
        <w:rPr>
          <w:rFonts w:ascii="Arial" w:hAnsi="Arial" w:cs="Arial"/>
          <w:sz w:val="22"/>
          <w:szCs w:val="22"/>
          <w:lang w:val="en-CA"/>
        </w:rPr>
        <w:t xml:space="preserve">Future research can investigate individual and ecological correlates of dual continua mental health </w:t>
      </w:r>
      <w:r w:rsidR="00184AE6" w:rsidRPr="00C33126">
        <w:rPr>
          <w:rFonts w:ascii="Arial" w:hAnsi="Arial" w:cs="Arial"/>
          <w:sz w:val="22"/>
          <w:szCs w:val="22"/>
          <w:lang w:val="en-CA"/>
        </w:rPr>
        <w:t>outcomes</w:t>
      </w:r>
      <w:r w:rsidR="00102038" w:rsidRPr="00C33126">
        <w:rPr>
          <w:rFonts w:ascii="Arial" w:hAnsi="Arial" w:cs="Arial"/>
          <w:sz w:val="22"/>
          <w:szCs w:val="22"/>
          <w:lang w:val="en-CA"/>
        </w:rPr>
        <w:t xml:space="preserve"> in autistic youth.</w:t>
      </w:r>
    </w:p>
    <w:p w14:paraId="5049465A" w14:textId="6C0B2E1A" w:rsidR="008D7C6B" w:rsidRDefault="008D7C6B" w:rsidP="008B7F11">
      <w:pPr>
        <w:rPr>
          <w:rFonts w:ascii="Arial" w:hAnsi="Arial" w:cs="Arial"/>
          <w:sz w:val="22"/>
          <w:szCs w:val="22"/>
          <w:lang w:val="en-CA"/>
        </w:rPr>
      </w:pPr>
    </w:p>
    <w:p w14:paraId="03F4937C" w14:textId="58CAAF39" w:rsidR="005A48E6" w:rsidRDefault="005A48E6" w:rsidP="008B7F11">
      <w:pPr>
        <w:rPr>
          <w:rFonts w:ascii="Arial" w:hAnsi="Arial" w:cs="Arial"/>
          <w:sz w:val="22"/>
          <w:szCs w:val="22"/>
          <w:lang w:val="en-CA"/>
        </w:rPr>
      </w:pPr>
    </w:p>
    <w:p w14:paraId="72B0F9DE" w14:textId="0A6EA387" w:rsidR="005A48E6" w:rsidRDefault="005A48E6" w:rsidP="008B7F11">
      <w:pPr>
        <w:rPr>
          <w:rFonts w:ascii="Arial" w:hAnsi="Arial" w:cs="Arial"/>
          <w:sz w:val="22"/>
          <w:szCs w:val="22"/>
          <w:lang w:val="en-CA"/>
        </w:rPr>
      </w:pPr>
    </w:p>
    <w:p w14:paraId="09A83A54" w14:textId="7B52B034" w:rsidR="005A48E6" w:rsidRDefault="005A48E6" w:rsidP="008B7F11">
      <w:pPr>
        <w:rPr>
          <w:rFonts w:ascii="Arial" w:hAnsi="Arial" w:cs="Arial"/>
          <w:sz w:val="22"/>
          <w:szCs w:val="22"/>
          <w:lang w:val="en-CA"/>
        </w:rPr>
      </w:pPr>
    </w:p>
    <w:p w14:paraId="2E3EA49E" w14:textId="77777777" w:rsidR="006F1338" w:rsidRPr="00C33126" w:rsidRDefault="006F1338" w:rsidP="008B7F11">
      <w:pPr>
        <w:rPr>
          <w:rFonts w:ascii="Arial" w:hAnsi="Arial" w:cs="Arial"/>
          <w:sz w:val="22"/>
          <w:szCs w:val="22"/>
          <w:lang w:val="en-CA"/>
        </w:rPr>
      </w:pPr>
    </w:p>
    <w:p w14:paraId="46E59A98" w14:textId="29981116" w:rsidR="006F4172" w:rsidRPr="00C33126" w:rsidRDefault="006F4172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lastRenderedPageBreak/>
        <w:t xml:space="preserve">Correspondence: </w:t>
      </w:r>
    </w:p>
    <w:p w14:paraId="49D445F1" w14:textId="6F8C1D4B" w:rsidR="002A6DF9" w:rsidRPr="00C33126" w:rsidRDefault="002A6DF9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6D4CB1EA" w14:textId="368B2B15" w:rsidR="002A6DF9" w:rsidRPr="00C33126" w:rsidRDefault="002A6DF9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Teresa Sellitto, B.Sc., M</w:t>
      </w:r>
      <w:r w:rsidR="007F1956">
        <w:rPr>
          <w:rFonts w:ascii="Arial" w:hAnsi="Arial" w:cs="Arial"/>
          <w:b/>
          <w:bCs/>
          <w:sz w:val="22"/>
          <w:szCs w:val="22"/>
          <w:lang w:val="en-CA"/>
        </w:rPr>
        <w:t>.</w:t>
      </w:r>
      <w:r w:rsidRPr="00C33126">
        <w:rPr>
          <w:rFonts w:ascii="Arial" w:hAnsi="Arial" w:cs="Arial"/>
          <w:b/>
          <w:bCs/>
          <w:sz w:val="22"/>
          <w:szCs w:val="22"/>
          <w:lang w:val="en-CA"/>
        </w:rPr>
        <w:t>A</w:t>
      </w:r>
      <w:r w:rsidR="007F1956">
        <w:rPr>
          <w:rFonts w:ascii="Arial" w:hAnsi="Arial" w:cs="Arial"/>
          <w:b/>
          <w:bCs/>
          <w:sz w:val="22"/>
          <w:szCs w:val="22"/>
          <w:lang w:val="en-CA"/>
        </w:rPr>
        <w:t>.</w:t>
      </w:r>
      <w:r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 w:rsidR="00EC4D7F">
        <w:rPr>
          <w:rFonts w:ascii="Arial" w:hAnsi="Arial" w:cs="Arial"/>
          <w:b/>
          <w:bCs/>
          <w:sz w:val="22"/>
          <w:szCs w:val="22"/>
          <w:lang w:val="en-CA"/>
        </w:rPr>
        <w:t>Student</w:t>
      </w:r>
      <w:r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</w:p>
    <w:p w14:paraId="23B4F8DA" w14:textId="2DFE3118" w:rsidR="002A6DF9" w:rsidRPr="00C33126" w:rsidRDefault="002A6DF9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York University</w:t>
      </w:r>
    </w:p>
    <w:p w14:paraId="0BAE37EB" w14:textId="17EE02C8" w:rsidR="002A6DF9" w:rsidRPr="00C33126" w:rsidRDefault="002A6DF9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4700 </w:t>
      </w:r>
      <w:proofErr w:type="spellStart"/>
      <w:r w:rsidRPr="00C33126">
        <w:rPr>
          <w:rFonts w:ascii="Arial" w:hAnsi="Arial" w:cs="Arial"/>
          <w:b/>
          <w:bCs/>
          <w:sz w:val="22"/>
          <w:szCs w:val="22"/>
          <w:lang w:val="en-CA"/>
        </w:rPr>
        <w:t>Keele</w:t>
      </w:r>
      <w:proofErr w:type="spellEnd"/>
      <w:r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 St., </w:t>
      </w:r>
    </w:p>
    <w:p w14:paraId="20ED6529" w14:textId="26FA0AB7" w:rsidR="002A6DF9" w:rsidRPr="00C33126" w:rsidRDefault="002A6DF9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Toronto, ON, M3J 1P3</w:t>
      </w:r>
    </w:p>
    <w:p w14:paraId="6179CA92" w14:textId="6AB5DBE4" w:rsidR="002A6DF9" w:rsidRPr="00C33126" w:rsidRDefault="006E2AE4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C33126">
        <w:rPr>
          <w:rFonts w:ascii="Arial" w:hAnsi="Arial" w:cs="Arial"/>
          <w:b/>
          <w:bCs/>
          <w:sz w:val="22"/>
          <w:szCs w:val="22"/>
          <w:lang w:val="en-CA"/>
        </w:rPr>
        <w:t>tsellitt@yorku.ca</w:t>
      </w:r>
      <w:r w:rsidR="002A6DF9" w:rsidRPr="00C33126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</w:p>
    <w:p w14:paraId="3A7AFA1E" w14:textId="1ADA262B" w:rsidR="002A6DF9" w:rsidRPr="00C33126" w:rsidRDefault="002A6DF9" w:rsidP="006F4172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BDCAF69" w14:textId="77777777" w:rsidR="005555A9" w:rsidRPr="00C33126" w:rsidRDefault="005555A9" w:rsidP="005555A9">
      <w:pPr>
        <w:rPr>
          <w:rFonts w:ascii="Arial" w:eastAsia="Arial" w:hAnsi="Arial" w:cs="Arial"/>
          <w:b/>
          <w:sz w:val="22"/>
          <w:szCs w:val="22"/>
        </w:rPr>
      </w:pPr>
      <w:r w:rsidRPr="00C33126">
        <w:rPr>
          <w:rFonts w:ascii="Arial" w:eastAsia="Arial" w:hAnsi="Arial" w:cs="Arial"/>
          <w:b/>
          <w:sz w:val="22"/>
          <w:szCs w:val="22"/>
        </w:rPr>
        <w:t>Jonathan Weiss, Ph.D., C. Psych</w:t>
      </w:r>
    </w:p>
    <w:p w14:paraId="7C421EF1" w14:textId="77777777" w:rsidR="005555A9" w:rsidRPr="00C33126" w:rsidRDefault="005555A9" w:rsidP="005555A9">
      <w:pPr>
        <w:rPr>
          <w:rFonts w:ascii="Arial" w:eastAsia="Arial" w:hAnsi="Arial" w:cs="Arial"/>
          <w:b/>
          <w:sz w:val="22"/>
          <w:szCs w:val="22"/>
        </w:rPr>
      </w:pPr>
      <w:r w:rsidRPr="00C33126">
        <w:rPr>
          <w:rFonts w:ascii="Arial" w:eastAsia="Arial" w:hAnsi="Arial" w:cs="Arial"/>
          <w:b/>
          <w:sz w:val="22"/>
          <w:szCs w:val="22"/>
        </w:rPr>
        <w:t>York University</w:t>
      </w:r>
    </w:p>
    <w:p w14:paraId="0FA9EE8D" w14:textId="77777777" w:rsidR="005555A9" w:rsidRPr="00C33126" w:rsidRDefault="005555A9" w:rsidP="005555A9">
      <w:pPr>
        <w:rPr>
          <w:rFonts w:ascii="Arial" w:eastAsia="Arial" w:hAnsi="Arial" w:cs="Arial"/>
          <w:b/>
          <w:sz w:val="22"/>
          <w:szCs w:val="22"/>
        </w:rPr>
      </w:pPr>
      <w:r w:rsidRPr="00C33126">
        <w:rPr>
          <w:rFonts w:ascii="Arial" w:eastAsia="Arial" w:hAnsi="Arial" w:cs="Arial"/>
          <w:b/>
          <w:sz w:val="22"/>
          <w:szCs w:val="22"/>
        </w:rPr>
        <w:t xml:space="preserve">4700 </w:t>
      </w:r>
      <w:proofErr w:type="spellStart"/>
      <w:r w:rsidRPr="00C33126">
        <w:rPr>
          <w:rFonts w:ascii="Arial" w:eastAsia="Arial" w:hAnsi="Arial" w:cs="Arial"/>
          <w:b/>
          <w:sz w:val="22"/>
          <w:szCs w:val="22"/>
        </w:rPr>
        <w:t>Keele</w:t>
      </w:r>
      <w:proofErr w:type="spellEnd"/>
      <w:r w:rsidRPr="00C33126">
        <w:rPr>
          <w:rFonts w:ascii="Arial" w:eastAsia="Arial" w:hAnsi="Arial" w:cs="Arial"/>
          <w:b/>
          <w:sz w:val="22"/>
          <w:szCs w:val="22"/>
        </w:rPr>
        <w:t xml:space="preserve"> St.,</w:t>
      </w:r>
    </w:p>
    <w:p w14:paraId="05315963" w14:textId="77777777" w:rsidR="005555A9" w:rsidRPr="00C33126" w:rsidRDefault="005555A9" w:rsidP="005555A9">
      <w:pPr>
        <w:rPr>
          <w:rFonts w:ascii="Arial" w:eastAsia="Arial" w:hAnsi="Arial" w:cs="Arial"/>
          <w:b/>
          <w:sz w:val="22"/>
          <w:szCs w:val="22"/>
        </w:rPr>
      </w:pPr>
      <w:r w:rsidRPr="00C33126">
        <w:rPr>
          <w:rFonts w:ascii="Arial" w:eastAsia="Arial" w:hAnsi="Arial" w:cs="Arial"/>
          <w:b/>
          <w:sz w:val="22"/>
          <w:szCs w:val="22"/>
        </w:rPr>
        <w:t>Toronto, ON, M3J 1P3</w:t>
      </w:r>
    </w:p>
    <w:p w14:paraId="31CB5730" w14:textId="56A62849" w:rsidR="00823205" w:rsidRDefault="00B164C5" w:rsidP="00B164C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jonweiss@yorku.ca</w:t>
      </w:r>
    </w:p>
    <w:p w14:paraId="0213EE22" w14:textId="77777777" w:rsidR="00B164C5" w:rsidRPr="00B164C5" w:rsidRDefault="00B164C5" w:rsidP="00B164C5">
      <w:pPr>
        <w:rPr>
          <w:rFonts w:ascii="Arial" w:eastAsia="Arial" w:hAnsi="Arial" w:cs="Arial"/>
          <w:b/>
          <w:sz w:val="22"/>
          <w:szCs w:val="22"/>
        </w:rPr>
      </w:pPr>
    </w:p>
    <w:p w14:paraId="245961AE" w14:textId="18207F96" w:rsidR="004E2C3E" w:rsidRPr="00543B8E" w:rsidRDefault="00927406" w:rsidP="00927406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 w:rsidRPr="00543B8E">
        <w:rPr>
          <w:rFonts w:ascii="Arial" w:hAnsi="Arial" w:cs="Arial"/>
          <w:b/>
          <w:bCs/>
          <w:sz w:val="22"/>
          <w:szCs w:val="22"/>
          <w:lang w:val="en-CA"/>
        </w:rPr>
        <w:t>References</w:t>
      </w:r>
    </w:p>
    <w:p w14:paraId="7C0C1CBA" w14:textId="77B6FA3D" w:rsidR="00927406" w:rsidRPr="00543B8E" w:rsidRDefault="00927406" w:rsidP="00927406">
      <w:pPr>
        <w:jc w:val="center"/>
        <w:rPr>
          <w:rFonts w:ascii="Arial" w:hAnsi="Arial" w:cs="Arial"/>
          <w:sz w:val="22"/>
          <w:szCs w:val="22"/>
          <w:lang w:val="en-CA"/>
        </w:rPr>
      </w:pPr>
    </w:p>
    <w:p w14:paraId="5703CDF2" w14:textId="77777777" w:rsidR="00543B8E" w:rsidRDefault="00823205" w:rsidP="00543B8E">
      <w:pPr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Byles, J., Byrne, C., Boyle, M. H., &amp; Offord, D. R. (1988). Ontario child health study: Reliability </w:t>
      </w:r>
    </w:p>
    <w:p w14:paraId="7EB91040" w14:textId="0F2D46DA" w:rsidR="00823205" w:rsidRPr="00543B8E" w:rsidRDefault="00823205" w:rsidP="00543B8E">
      <w:pPr>
        <w:ind w:left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and validity of the general functioning subscale of the McMaster family assessment device. 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>Family Process, 27</w:t>
      </w:r>
      <w:r w:rsidR="003B1724" w:rsidRPr="00543B8E">
        <w:rPr>
          <w:rFonts w:ascii="Arial" w:hAnsi="Arial" w:cs="Arial"/>
          <w:sz w:val="22"/>
          <w:szCs w:val="22"/>
          <w:lang w:val="en-CA"/>
        </w:rPr>
        <w:t>(1)</w:t>
      </w:r>
      <w:r w:rsidRPr="00543B8E">
        <w:rPr>
          <w:rFonts w:ascii="Arial" w:hAnsi="Arial" w:cs="Arial"/>
          <w:sz w:val="22"/>
          <w:szCs w:val="22"/>
          <w:lang w:val="en-CA"/>
        </w:rPr>
        <w:t>, 97-104. https://doi.org/10.1111/j.1545-5300.1988.00097.x</w:t>
      </w:r>
    </w:p>
    <w:p w14:paraId="7AFBEE67" w14:textId="77777777" w:rsidR="00543B8E" w:rsidRDefault="00AA6590" w:rsidP="00543B8E">
      <w:pPr>
        <w:rPr>
          <w:rFonts w:ascii="Arial" w:hAnsi="Arial" w:cs="Arial"/>
          <w:sz w:val="22"/>
          <w:szCs w:val="22"/>
          <w:lang w:val="en-CA"/>
        </w:rPr>
      </w:pPr>
      <w:proofErr w:type="spellStart"/>
      <w:r w:rsidRPr="00543B8E">
        <w:rPr>
          <w:rFonts w:ascii="Arial" w:hAnsi="Arial" w:cs="Arial"/>
          <w:sz w:val="22"/>
          <w:szCs w:val="22"/>
          <w:lang w:val="en-CA"/>
        </w:rPr>
        <w:t>Coster</w:t>
      </w:r>
      <w:proofErr w:type="spellEnd"/>
      <w:r w:rsidRPr="00543B8E">
        <w:rPr>
          <w:rFonts w:ascii="Arial" w:hAnsi="Arial" w:cs="Arial"/>
          <w:sz w:val="22"/>
          <w:szCs w:val="22"/>
          <w:lang w:val="en-CA"/>
        </w:rPr>
        <w:t xml:space="preserve">, W., Law, M., Bedell, G., </w:t>
      </w:r>
      <w:proofErr w:type="spellStart"/>
      <w:r w:rsidRPr="00543B8E">
        <w:rPr>
          <w:rFonts w:ascii="Arial" w:hAnsi="Arial" w:cs="Arial"/>
          <w:sz w:val="22"/>
          <w:szCs w:val="22"/>
          <w:lang w:val="en-CA"/>
        </w:rPr>
        <w:t>Khetani</w:t>
      </w:r>
      <w:proofErr w:type="spellEnd"/>
      <w:r w:rsidRPr="00543B8E">
        <w:rPr>
          <w:rFonts w:ascii="Arial" w:hAnsi="Arial" w:cs="Arial"/>
          <w:sz w:val="22"/>
          <w:szCs w:val="22"/>
          <w:lang w:val="en-CA"/>
        </w:rPr>
        <w:t xml:space="preserve">, M., Cousins, M., &amp; </w:t>
      </w:r>
      <w:proofErr w:type="spellStart"/>
      <w:r w:rsidRPr="00543B8E">
        <w:rPr>
          <w:rFonts w:ascii="Arial" w:hAnsi="Arial" w:cs="Arial"/>
          <w:sz w:val="22"/>
          <w:szCs w:val="22"/>
          <w:lang w:val="en-CA"/>
        </w:rPr>
        <w:t>Teplicky</w:t>
      </w:r>
      <w:proofErr w:type="spellEnd"/>
      <w:r w:rsidRPr="00543B8E">
        <w:rPr>
          <w:rFonts w:ascii="Arial" w:hAnsi="Arial" w:cs="Arial"/>
          <w:sz w:val="22"/>
          <w:szCs w:val="22"/>
          <w:lang w:val="en-CA"/>
        </w:rPr>
        <w:t xml:space="preserve">, R. (2012). Development </w:t>
      </w:r>
    </w:p>
    <w:p w14:paraId="7EEC4A4C" w14:textId="58EC4410" w:rsidR="00AA6590" w:rsidRPr="00543B8E" w:rsidRDefault="00AA6590" w:rsidP="00543B8E">
      <w:pPr>
        <w:ind w:left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of the participation and environment measure for children and youth: Conceptual basis. 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>Disability and Rehabilitation, 34</w:t>
      </w:r>
      <w:r w:rsidRPr="00543B8E">
        <w:rPr>
          <w:rFonts w:ascii="Arial" w:hAnsi="Arial" w:cs="Arial"/>
          <w:sz w:val="22"/>
          <w:szCs w:val="22"/>
          <w:lang w:val="en-CA"/>
        </w:rPr>
        <w:t>(3), 238–246. https://doi.org/10.3109/09638288.2011.603017</w:t>
      </w:r>
    </w:p>
    <w:p w14:paraId="667BF8BD" w14:textId="77777777" w:rsidR="00543B8E" w:rsidRDefault="00402026" w:rsidP="00543B8E">
      <w:pPr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Emerson, E., Hatton, C., Llewellyn, G., Blacker, J., &amp; Graham, H. (2006). Socio-economic </w:t>
      </w:r>
    </w:p>
    <w:p w14:paraId="77D88DA9" w14:textId="7616DF28" w:rsidR="00402026" w:rsidRPr="00543B8E" w:rsidRDefault="00402026" w:rsidP="00543B8E">
      <w:pPr>
        <w:ind w:left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position, household composition, health status and indicators of the well-being of mothers of children with and without intellectual disabilities. 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>Journal of Intellectual Disability Research, 50</w:t>
      </w:r>
      <w:r w:rsidRPr="00543B8E">
        <w:rPr>
          <w:rFonts w:ascii="Arial" w:hAnsi="Arial" w:cs="Arial"/>
          <w:sz w:val="22"/>
          <w:szCs w:val="22"/>
          <w:lang w:val="en-CA"/>
        </w:rPr>
        <w:t>(12), 862-873. https://doi.org/10.1111/j.1365-2788.2006.00900.x</w:t>
      </w:r>
    </w:p>
    <w:p w14:paraId="28E881F3" w14:textId="77777777" w:rsidR="0064641A" w:rsidRDefault="004E15BF" w:rsidP="0064641A">
      <w:pPr>
        <w:rPr>
          <w:rFonts w:ascii="Arial" w:hAnsi="Arial" w:cs="Arial"/>
          <w:i/>
          <w:iCs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Goodman, R. (1997). The strengths and difficulties questionnaire: A research note. 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 xml:space="preserve">Journal of </w:t>
      </w:r>
    </w:p>
    <w:p w14:paraId="6468B672" w14:textId="77777777" w:rsidR="005B779E" w:rsidRDefault="004E15BF" w:rsidP="0064641A">
      <w:pPr>
        <w:ind w:firstLine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i/>
          <w:iCs/>
          <w:sz w:val="22"/>
          <w:szCs w:val="22"/>
          <w:lang w:val="en-CA"/>
        </w:rPr>
        <w:t>Child Psychology and Psychiatry, 38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(5), 581–586. </w:t>
      </w:r>
    </w:p>
    <w:p w14:paraId="4D162EE3" w14:textId="202C2F33" w:rsidR="004E15BF" w:rsidRPr="0064641A" w:rsidRDefault="004E15BF" w:rsidP="0064641A">
      <w:pPr>
        <w:ind w:firstLine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>https://doi.org/10.1111/j.1469-7610.1997.tb01545.x</w:t>
      </w:r>
    </w:p>
    <w:p w14:paraId="1D9E36D2" w14:textId="77777777" w:rsidR="005B779E" w:rsidRDefault="004E15BF" w:rsidP="005B779E">
      <w:pPr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Keyes, C. L. M (2002). The mental health continuum: From languishing to flourishing in life. </w:t>
      </w:r>
    </w:p>
    <w:p w14:paraId="292A14D6" w14:textId="11C715DB" w:rsidR="004E15BF" w:rsidRPr="00543B8E" w:rsidRDefault="004E15BF" w:rsidP="005B779E">
      <w:pPr>
        <w:ind w:left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i/>
          <w:iCs/>
          <w:sz w:val="22"/>
          <w:szCs w:val="22"/>
          <w:lang w:val="en-CA"/>
        </w:rPr>
        <w:t>Journal of Health and Social Behaviour, 43</w:t>
      </w:r>
      <w:r w:rsidRPr="00543B8E">
        <w:rPr>
          <w:rFonts w:ascii="Arial" w:hAnsi="Arial" w:cs="Arial"/>
          <w:sz w:val="22"/>
          <w:szCs w:val="22"/>
          <w:lang w:val="en-CA"/>
        </w:rPr>
        <w:t>(2), 207-222.</w:t>
      </w:r>
      <w:r w:rsidR="00D47ABA" w:rsidRPr="00543B8E">
        <w:rPr>
          <w:rFonts w:ascii="Arial" w:hAnsi="Arial" w:cs="Arial"/>
          <w:sz w:val="22"/>
          <w:szCs w:val="22"/>
          <w:lang w:val="en-CA"/>
        </w:rPr>
        <w:t xml:space="preserve"> </w:t>
      </w:r>
      <w:r w:rsidRPr="00543B8E">
        <w:rPr>
          <w:rFonts w:ascii="Arial" w:hAnsi="Arial" w:cs="Arial"/>
          <w:sz w:val="22"/>
          <w:szCs w:val="22"/>
          <w:lang w:val="en-CA"/>
        </w:rPr>
        <w:t>https://www.jstor.org/stable/3090197</w:t>
      </w:r>
    </w:p>
    <w:p w14:paraId="7598D830" w14:textId="77777777" w:rsidR="00AB409B" w:rsidRDefault="00CC1027" w:rsidP="00AB409B">
      <w:pPr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val="en-CA"/>
        </w:rPr>
      </w:pPr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 xml:space="preserve">Keyes, C. L. M (2006). Mental health in adolescence: Is America’s youth flourishing? </w:t>
      </w:r>
      <w:r w:rsidRPr="00543B8E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val="en-CA"/>
        </w:rPr>
        <w:t xml:space="preserve">American </w:t>
      </w:r>
    </w:p>
    <w:p w14:paraId="5E9E8B42" w14:textId="03AA9E8E" w:rsidR="00CC1027" w:rsidRPr="00AB409B" w:rsidRDefault="00CC1027" w:rsidP="00AB409B">
      <w:pPr>
        <w:ind w:firstLine="720"/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</w:pPr>
      <w:r w:rsidRPr="00543B8E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val="en-CA"/>
        </w:rPr>
        <w:t>Journal of Orthopsychiatry, 76</w:t>
      </w:r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>(3), 395-402. https://doi.org/10.1037/0002-9432.76.3.395</w:t>
      </w:r>
    </w:p>
    <w:p w14:paraId="1798AA5B" w14:textId="77777777" w:rsidR="00F15EA9" w:rsidRDefault="00DC0138" w:rsidP="00F15EA9">
      <w:pPr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</w:pPr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 xml:space="preserve">Lerner, R. M., </w:t>
      </w:r>
      <w:proofErr w:type="spellStart"/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>Almerigi</w:t>
      </w:r>
      <w:proofErr w:type="spellEnd"/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 xml:space="preserve">, J. B., </w:t>
      </w:r>
      <w:proofErr w:type="spellStart"/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>Theokas</w:t>
      </w:r>
      <w:proofErr w:type="spellEnd"/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 xml:space="preserve">, C., &amp; Lerner, J. V. (2005). Positive youth development. </w:t>
      </w:r>
    </w:p>
    <w:p w14:paraId="0DB159AE" w14:textId="56CC3322" w:rsidR="000B6B02" w:rsidRPr="00543B8E" w:rsidRDefault="00DC0138" w:rsidP="00F15EA9">
      <w:pPr>
        <w:ind w:firstLine="720"/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</w:pPr>
      <w:r w:rsidRPr="00543B8E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val="en-CA"/>
        </w:rPr>
        <w:t>Journal of Early Adolescence, 25</w:t>
      </w:r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>(1), 10–16.</w:t>
      </w:r>
      <w:r w:rsidRPr="00543B8E">
        <w:rPr>
          <w:rFonts w:ascii="Arial" w:hAnsi="Arial" w:cs="Arial"/>
          <w:sz w:val="22"/>
          <w:szCs w:val="22"/>
        </w:rPr>
        <w:t xml:space="preserve"> </w:t>
      </w:r>
      <w:r w:rsidRPr="00543B8E">
        <w:rPr>
          <w:rFonts w:ascii="Arial" w:eastAsia="Times New Roman" w:hAnsi="Arial" w:cs="Arial"/>
          <w:sz w:val="22"/>
          <w:szCs w:val="22"/>
          <w:shd w:val="clear" w:color="auto" w:fill="FFFFFF"/>
          <w:lang w:val="en-CA"/>
        </w:rPr>
        <w:t>https://doi.org/10.1177/0272431604273211</w:t>
      </w:r>
    </w:p>
    <w:p w14:paraId="3312F642" w14:textId="77777777" w:rsidR="00F15EA9" w:rsidRDefault="004E15BF" w:rsidP="00F15EA9">
      <w:pPr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>Lerner, R. M., von Eye, A., Lerner, J. V., Lewin-</w:t>
      </w:r>
      <w:proofErr w:type="spellStart"/>
      <w:r w:rsidRPr="00543B8E">
        <w:rPr>
          <w:rFonts w:ascii="Arial" w:hAnsi="Arial" w:cs="Arial"/>
          <w:sz w:val="22"/>
          <w:szCs w:val="22"/>
          <w:lang w:val="en-CA"/>
        </w:rPr>
        <w:t>Bizan</w:t>
      </w:r>
      <w:proofErr w:type="spellEnd"/>
      <w:r w:rsidRPr="00543B8E">
        <w:rPr>
          <w:rFonts w:ascii="Arial" w:hAnsi="Arial" w:cs="Arial"/>
          <w:sz w:val="22"/>
          <w:szCs w:val="22"/>
          <w:lang w:val="en-CA"/>
        </w:rPr>
        <w:t xml:space="preserve">, S., &amp; Bowers, E. P. (2010). Special issue </w:t>
      </w:r>
    </w:p>
    <w:p w14:paraId="1D5AA69E" w14:textId="110CCCA1" w:rsidR="004E15BF" w:rsidRPr="00543B8E" w:rsidRDefault="004E15BF" w:rsidP="00F15EA9">
      <w:pPr>
        <w:ind w:left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>introduction: The meaning and measurement of thriving: A view of the issues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>. Journal of Youth and Adolescence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, 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>39</w:t>
      </w:r>
      <w:r w:rsidRPr="00543B8E">
        <w:rPr>
          <w:rFonts w:ascii="Arial" w:hAnsi="Arial" w:cs="Arial"/>
          <w:sz w:val="22"/>
          <w:szCs w:val="22"/>
          <w:lang w:val="en-CA"/>
        </w:rPr>
        <w:t>(7), 707–719. https://doi.org/10.1007/s10964-010-9531-8</w:t>
      </w:r>
    </w:p>
    <w:p w14:paraId="1D661938" w14:textId="77777777" w:rsidR="00A2437F" w:rsidRDefault="004E15BF" w:rsidP="00A2437F">
      <w:pPr>
        <w:rPr>
          <w:rFonts w:ascii="Arial" w:hAnsi="Arial" w:cs="Arial"/>
          <w:sz w:val="22"/>
          <w:szCs w:val="22"/>
          <w:lang w:val="en-CA"/>
        </w:rPr>
      </w:pPr>
      <w:proofErr w:type="spellStart"/>
      <w:r w:rsidRPr="00543B8E">
        <w:rPr>
          <w:rFonts w:ascii="Arial" w:hAnsi="Arial" w:cs="Arial"/>
          <w:sz w:val="22"/>
          <w:szCs w:val="22"/>
          <w:lang w:val="en-CA"/>
        </w:rPr>
        <w:t>Maenner</w:t>
      </w:r>
      <w:proofErr w:type="spellEnd"/>
      <w:r w:rsidRPr="00543B8E">
        <w:rPr>
          <w:rFonts w:ascii="Arial" w:hAnsi="Arial" w:cs="Arial"/>
          <w:sz w:val="22"/>
          <w:szCs w:val="22"/>
          <w:lang w:val="en-CA"/>
        </w:rPr>
        <w:t xml:space="preserve">, M. J., Smith, L. E., Hong, J., </w:t>
      </w:r>
      <w:proofErr w:type="spellStart"/>
      <w:r w:rsidRPr="00543B8E">
        <w:rPr>
          <w:rFonts w:ascii="Arial" w:hAnsi="Arial" w:cs="Arial"/>
          <w:sz w:val="22"/>
          <w:szCs w:val="22"/>
          <w:lang w:val="en-CA"/>
        </w:rPr>
        <w:t>Makuch</w:t>
      </w:r>
      <w:proofErr w:type="spellEnd"/>
      <w:r w:rsidRPr="00543B8E">
        <w:rPr>
          <w:rFonts w:ascii="Arial" w:hAnsi="Arial" w:cs="Arial"/>
          <w:sz w:val="22"/>
          <w:szCs w:val="22"/>
          <w:lang w:val="en-CA"/>
        </w:rPr>
        <w:t xml:space="preserve">, R., Greenberg, J. S., &amp; </w:t>
      </w:r>
      <w:proofErr w:type="spellStart"/>
      <w:r w:rsidRPr="00543B8E">
        <w:rPr>
          <w:rFonts w:ascii="Arial" w:hAnsi="Arial" w:cs="Arial"/>
          <w:sz w:val="22"/>
          <w:szCs w:val="22"/>
          <w:lang w:val="en-CA"/>
        </w:rPr>
        <w:t>Mailick</w:t>
      </w:r>
      <w:proofErr w:type="spellEnd"/>
      <w:r w:rsidRPr="00543B8E">
        <w:rPr>
          <w:rFonts w:ascii="Arial" w:hAnsi="Arial" w:cs="Arial"/>
          <w:sz w:val="22"/>
          <w:szCs w:val="22"/>
          <w:lang w:val="en-CA"/>
        </w:rPr>
        <w:t xml:space="preserve">, M. R. (2013). </w:t>
      </w:r>
    </w:p>
    <w:p w14:paraId="559B1ACC" w14:textId="362DFD95" w:rsidR="004E15BF" w:rsidRPr="00543B8E" w:rsidRDefault="004E15BF" w:rsidP="00A2437F">
      <w:pPr>
        <w:ind w:left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 xml:space="preserve">Evaluation of an activities of daily living scale for adolescents and adults with developmental disabilities. 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>Disability and Health Journal, 6</w:t>
      </w:r>
      <w:r w:rsidRPr="00543B8E">
        <w:rPr>
          <w:rFonts w:ascii="Arial" w:hAnsi="Arial" w:cs="Arial"/>
          <w:sz w:val="22"/>
          <w:szCs w:val="22"/>
          <w:lang w:val="en-CA"/>
        </w:rPr>
        <w:t>(1), 8–17. https://doi.org/10.1016/j.dhjo.2012.08.005</w:t>
      </w:r>
    </w:p>
    <w:p w14:paraId="4671746B" w14:textId="77777777" w:rsidR="006237B6" w:rsidRDefault="004E15BF" w:rsidP="006237B6">
      <w:pPr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>Mazurek, M. O., Shattuck, P. T., Wagner, M., &amp; Cooper, B. P. (201</w:t>
      </w:r>
      <w:r w:rsidR="004E2807" w:rsidRPr="00543B8E">
        <w:rPr>
          <w:rFonts w:ascii="Arial" w:hAnsi="Arial" w:cs="Arial"/>
          <w:sz w:val="22"/>
          <w:szCs w:val="22"/>
          <w:lang w:val="en-CA"/>
        </w:rPr>
        <w:t>2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). Prevalence and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c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orrelates </w:t>
      </w:r>
    </w:p>
    <w:p w14:paraId="698D1093" w14:textId="01A8DEA1" w:rsidR="004E15BF" w:rsidRPr="00543B8E" w:rsidRDefault="004E15BF" w:rsidP="006237B6">
      <w:pPr>
        <w:ind w:left="720"/>
        <w:rPr>
          <w:rFonts w:ascii="Arial" w:hAnsi="Arial" w:cs="Arial"/>
          <w:sz w:val="22"/>
          <w:szCs w:val="22"/>
          <w:lang w:val="en-CA"/>
        </w:rPr>
      </w:pPr>
      <w:r w:rsidRPr="00543B8E">
        <w:rPr>
          <w:rFonts w:ascii="Arial" w:hAnsi="Arial" w:cs="Arial"/>
          <w:sz w:val="22"/>
          <w:szCs w:val="22"/>
          <w:lang w:val="en-CA"/>
        </w:rPr>
        <w:t>of</w:t>
      </w:r>
      <w:r w:rsidR="003C2076" w:rsidRPr="00543B8E">
        <w:rPr>
          <w:rFonts w:ascii="Arial" w:hAnsi="Arial" w:cs="Arial"/>
          <w:sz w:val="22"/>
          <w:szCs w:val="22"/>
          <w:lang w:val="en-CA"/>
        </w:rPr>
        <w:t xml:space="preserve"> s</w:t>
      </w:r>
      <w:r w:rsidRPr="00543B8E">
        <w:rPr>
          <w:rFonts w:ascii="Arial" w:hAnsi="Arial" w:cs="Arial"/>
          <w:sz w:val="22"/>
          <w:szCs w:val="22"/>
          <w:lang w:val="en-CA"/>
        </w:rPr>
        <w:t>creen-</w:t>
      </w:r>
      <w:r w:rsidR="003C2076" w:rsidRPr="00543B8E">
        <w:rPr>
          <w:rFonts w:ascii="Arial" w:hAnsi="Arial" w:cs="Arial"/>
          <w:sz w:val="22"/>
          <w:szCs w:val="22"/>
          <w:lang w:val="en-CA"/>
        </w:rPr>
        <w:t>b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ased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m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edia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u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se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a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mong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y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ouths with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a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utism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s</w:t>
      </w:r>
      <w:r w:rsidRPr="00543B8E">
        <w:rPr>
          <w:rFonts w:ascii="Arial" w:hAnsi="Arial" w:cs="Arial"/>
          <w:sz w:val="22"/>
          <w:szCs w:val="22"/>
          <w:lang w:val="en-CA"/>
        </w:rPr>
        <w:t xml:space="preserve">pectrum </w:t>
      </w:r>
      <w:r w:rsidR="003C2076" w:rsidRPr="00543B8E">
        <w:rPr>
          <w:rFonts w:ascii="Arial" w:hAnsi="Arial" w:cs="Arial"/>
          <w:sz w:val="22"/>
          <w:szCs w:val="22"/>
          <w:lang w:val="en-CA"/>
        </w:rPr>
        <w:t>d</w:t>
      </w:r>
      <w:r w:rsidRPr="00543B8E">
        <w:rPr>
          <w:rFonts w:ascii="Arial" w:hAnsi="Arial" w:cs="Arial"/>
          <w:sz w:val="22"/>
          <w:szCs w:val="22"/>
          <w:lang w:val="en-CA"/>
        </w:rPr>
        <w:t>isorders</w:t>
      </w:r>
      <w:r w:rsidRPr="00543B8E">
        <w:rPr>
          <w:rFonts w:ascii="Arial" w:hAnsi="Arial" w:cs="Arial"/>
          <w:i/>
          <w:iCs/>
          <w:sz w:val="22"/>
          <w:szCs w:val="22"/>
          <w:lang w:val="en-CA"/>
        </w:rPr>
        <w:t>. Journal of Autism and Developmental Disorders, 42</w:t>
      </w:r>
      <w:r w:rsidRPr="00543B8E">
        <w:rPr>
          <w:rFonts w:ascii="Arial" w:hAnsi="Arial" w:cs="Arial"/>
          <w:sz w:val="22"/>
          <w:szCs w:val="22"/>
          <w:lang w:val="en-CA"/>
        </w:rPr>
        <w:t>(8), 1757–1767. https://doi.org/10.1007/s10803-011-1413-8</w:t>
      </w:r>
    </w:p>
    <w:p w14:paraId="05EB32A3" w14:textId="77777777" w:rsidR="006237B6" w:rsidRDefault="004E15BF" w:rsidP="006237B6">
      <w:pPr>
        <w:rPr>
          <w:rFonts w:ascii="Arial" w:hAnsi="Arial" w:cs="Arial"/>
          <w:sz w:val="22"/>
          <w:szCs w:val="22"/>
        </w:rPr>
      </w:pPr>
      <w:r w:rsidRPr="00543B8E">
        <w:rPr>
          <w:rFonts w:ascii="Arial" w:hAnsi="Arial" w:cs="Arial"/>
          <w:sz w:val="22"/>
          <w:szCs w:val="22"/>
        </w:rPr>
        <w:t xml:space="preserve">Weiss, J. A., &amp; Burnham </w:t>
      </w:r>
      <w:proofErr w:type="spellStart"/>
      <w:r w:rsidRPr="00543B8E">
        <w:rPr>
          <w:rFonts w:ascii="Arial" w:hAnsi="Arial" w:cs="Arial"/>
          <w:sz w:val="22"/>
          <w:szCs w:val="22"/>
        </w:rPr>
        <w:t>Riosa</w:t>
      </w:r>
      <w:proofErr w:type="spellEnd"/>
      <w:r w:rsidRPr="00543B8E">
        <w:rPr>
          <w:rFonts w:ascii="Arial" w:hAnsi="Arial" w:cs="Arial"/>
          <w:sz w:val="22"/>
          <w:szCs w:val="22"/>
        </w:rPr>
        <w:t xml:space="preserve">, P. (2015). Thriving in youth with autism spectrum disorder and </w:t>
      </w:r>
    </w:p>
    <w:p w14:paraId="1231DE3A" w14:textId="59026531" w:rsidR="0075179A" w:rsidRPr="00C03389" w:rsidRDefault="004E15BF" w:rsidP="00C03389">
      <w:pPr>
        <w:ind w:left="720"/>
        <w:rPr>
          <w:rFonts w:ascii="Arial" w:hAnsi="Arial" w:cs="Arial"/>
          <w:sz w:val="22"/>
          <w:szCs w:val="22"/>
        </w:rPr>
      </w:pPr>
      <w:r w:rsidRPr="00543B8E">
        <w:rPr>
          <w:rFonts w:ascii="Arial" w:hAnsi="Arial" w:cs="Arial"/>
          <w:sz w:val="22"/>
          <w:szCs w:val="22"/>
        </w:rPr>
        <w:t xml:space="preserve">intellectual disability. </w:t>
      </w:r>
      <w:r w:rsidRPr="00543B8E">
        <w:rPr>
          <w:rFonts w:ascii="Arial" w:hAnsi="Arial" w:cs="Arial"/>
          <w:i/>
          <w:iCs/>
          <w:sz w:val="22"/>
          <w:szCs w:val="22"/>
        </w:rPr>
        <w:t>Journal of Autism and Developmental Disorders, 45</w:t>
      </w:r>
      <w:r w:rsidRPr="00543B8E">
        <w:rPr>
          <w:rFonts w:ascii="Arial" w:hAnsi="Arial" w:cs="Arial"/>
          <w:sz w:val="22"/>
          <w:szCs w:val="22"/>
        </w:rPr>
        <w:t xml:space="preserve">(8), 2474-4486. </w:t>
      </w:r>
      <w:r w:rsidR="00240E09" w:rsidRPr="00543B8E">
        <w:rPr>
          <w:rFonts w:ascii="Arial" w:hAnsi="Arial" w:cs="Arial"/>
          <w:sz w:val="22"/>
          <w:szCs w:val="22"/>
        </w:rPr>
        <w:t>https://doi.org/10.1007/s10803-015-2412-y</w:t>
      </w:r>
    </w:p>
    <w:sectPr w:rsidR="0075179A" w:rsidRPr="00C03389" w:rsidSect="002A4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5FD1" w14:textId="77777777" w:rsidR="000C40B7" w:rsidRDefault="000C40B7" w:rsidP="004E2C3E">
      <w:r>
        <w:separator/>
      </w:r>
    </w:p>
  </w:endnote>
  <w:endnote w:type="continuationSeparator" w:id="0">
    <w:p w14:paraId="62B6DF2C" w14:textId="77777777" w:rsidR="000C40B7" w:rsidRDefault="000C40B7" w:rsidP="004E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03D3" w14:textId="77777777" w:rsidR="000C40B7" w:rsidRDefault="000C40B7" w:rsidP="004E2C3E">
      <w:r>
        <w:separator/>
      </w:r>
    </w:p>
  </w:footnote>
  <w:footnote w:type="continuationSeparator" w:id="0">
    <w:p w14:paraId="165F2B4B" w14:textId="77777777" w:rsidR="000C40B7" w:rsidRDefault="000C40B7" w:rsidP="004E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3E"/>
    <w:rsid w:val="00002859"/>
    <w:rsid w:val="00023A22"/>
    <w:rsid w:val="0009306C"/>
    <w:rsid w:val="00094008"/>
    <w:rsid w:val="000B5E75"/>
    <w:rsid w:val="000B6B02"/>
    <w:rsid w:val="000C0BD2"/>
    <w:rsid w:val="000C40B7"/>
    <w:rsid w:val="000C60B9"/>
    <w:rsid w:val="000D06ED"/>
    <w:rsid w:val="000D7EA5"/>
    <w:rsid w:val="000E080D"/>
    <w:rsid w:val="000E5897"/>
    <w:rsid w:val="000E613C"/>
    <w:rsid w:val="00102038"/>
    <w:rsid w:val="00121AFB"/>
    <w:rsid w:val="00133B54"/>
    <w:rsid w:val="00142178"/>
    <w:rsid w:val="0015416E"/>
    <w:rsid w:val="00160FD9"/>
    <w:rsid w:val="00163F0E"/>
    <w:rsid w:val="0016544A"/>
    <w:rsid w:val="00171C21"/>
    <w:rsid w:val="001766FD"/>
    <w:rsid w:val="00184AE6"/>
    <w:rsid w:val="00185DCC"/>
    <w:rsid w:val="00186111"/>
    <w:rsid w:val="00191F3D"/>
    <w:rsid w:val="001A16BA"/>
    <w:rsid w:val="001B6F0A"/>
    <w:rsid w:val="001C1F58"/>
    <w:rsid w:val="001E4CC0"/>
    <w:rsid w:val="001E5111"/>
    <w:rsid w:val="001E5C82"/>
    <w:rsid w:val="001E684D"/>
    <w:rsid w:val="001F02C7"/>
    <w:rsid w:val="00204E85"/>
    <w:rsid w:val="002170A9"/>
    <w:rsid w:val="00220B7A"/>
    <w:rsid w:val="00223670"/>
    <w:rsid w:val="00240E09"/>
    <w:rsid w:val="00244A65"/>
    <w:rsid w:val="002635FF"/>
    <w:rsid w:val="002703B1"/>
    <w:rsid w:val="00273167"/>
    <w:rsid w:val="00281897"/>
    <w:rsid w:val="002A0783"/>
    <w:rsid w:val="002A20FE"/>
    <w:rsid w:val="002A4B2C"/>
    <w:rsid w:val="002A6DF9"/>
    <w:rsid w:val="002C4F18"/>
    <w:rsid w:val="002C75CA"/>
    <w:rsid w:val="002D0CB6"/>
    <w:rsid w:val="002D155B"/>
    <w:rsid w:val="002D309F"/>
    <w:rsid w:val="002D4537"/>
    <w:rsid w:val="002E49C2"/>
    <w:rsid w:val="002F04E8"/>
    <w:rsid w:val="002F663B"/>
    <w:rsid w:val="00305702"/>
    <w:rsid w:val="00310492"/>
    <w:rsid w:val="003226EB"/>
    <w:rsid w:val="00326A4F"/>
    <w:rsid w:val="00345AD1"/>
    <w:rsid w:val="00351B14"/>
    <w:rsid w:val="00357188"/>
    <w:rsid w:val="00360E1C"/>
    <w:rsid w:val="0036474B"/>
    <w:rsid w:val="00364B60"/>
    <w:rsid w:val="003657BE"/>
    <w:rsid w:val="00393CAE"/>
    <w:rsid w:val="003A570D"/>
    <w:rsid w:val="003B1724"/>
    <w:rsid w:val="003B3589"/>
    <w:rsid w:val="003B40BB"/>
    <w:rsid w:val="003B4F2E"/>
    <w:rsid w:val="003B6A0C"/>
    <w:rsid w:val="003C2076"/>
    <w:rsid w:val="003C2DAA"/>
    <w:rsid w:val="003D43DE"/>
    <w:rsid w:val="003D517F"/>
    <w:rsid w:val="003F390B"/>
    <w:rsid w:val="003F44D7"/>
    <w:rsid w:val="003F50CD"/>
    <w:rsid w:val="00402026"/>
    <w:rsid w:val="00412FC0"/>
    <w:rsid w:val="00415FE7"/>
    <w:rsid w:val="004218BD"/>
    <w:rsid w:val="004228A8"/>
    <w:rsid w:val="00423E3C"/>
    <w:rsid w:val="00424401"/>
    <w:rsid w:val="00427077"/>
    <w:rsid w:val="00427CD0"/>
    <w:rsid w:val="00431184"/>
    <w:rsid w:val="004319CF"/>
    <w:rsid w:val="00441BA1"/>
    <w:rsid w:val="0044777B"/>
    <w:rsid w:val="0044789E"/>
    <w:rsid w:val="00462B2E"/>
    <w:rsid w:val="004644DC"/>
    <w:rsid w:val="00477954"/>
    <w:rsid w:val="004866DE"/>
    <w:rsid w:val="004A13D8"/>
    <w:rsid w:val="004A4174"/>
    <w:rsid w:val="004A46C1"/>
    <w:rsid w:val="004A647A"/>
    <w:rsid w:val="004A7E96"/>
    <w:rsid w:val="004D62CF"/>
    <w:rsid w:val="004E15BF"/>
    <w:rsid w:val="004E2807"/>
    <w:rsid w:val="004E2C3E"/>
    <w:rsid w:val="004F32E7"/>
    <w:rsid w:val="00512152"/>
    <w:rsid w:val="00514B13"/>
    <w:rsid w:val="00521B83"/>
    <w:rsid w:val="00537F7B"/>
    <w:rsid w:val="00543B8E"/>
    <w:rsid w:val="00547267"/>
    <w:rsid w:val="005555A9"/>
    <w:rsid w:val="00572AEC"/>
    <w:rsid w:val="005751B2"/>
    <w:rsid w:val="005874FA"/>
    <w:rsid w:val="00593A0E"/>
    <w:rsid w:val="005A3E5A"/>
    <w:rsid w:val="005A48E6"/>
    <w:rsid w:val="005B5B24"/>
    <w:rsid w:val="005B779E"/>
    <w:rsid w:val="005C7502"/>
    <w:rsid w:val="005D42D3"/>
    <w:rsid w:val="005F4500"/>
    <w:rsid w:val="005F7378"/>
    <w:rsid w:val="00607AC1"/>
    <w:rsid w:val="006237B6"/>
    <w:rsid w:val="00624923"/>
    <w:rsid w:val="00625A53"/>
    <w:rsid w:val="006329AD"/>
    <w:rsid w:val="0064641A"/>
    <w:rsid w:val="0064766C"/>
    <w:rsid w:val="006508D8"/>
    <w:rsid w:val="00661753"/>
    <w:rsid w:val="0066782A"/>
    <w:rsid w:val="00670651"/>
    <w:rsid w:val="006777B2"/>
    <w:rsid w:val="0068013A"/>
    <w:rsid w:val="00682F9D"/>
    <w:rsid w:val="006970BE"/>
    <w:rsid w:val="006A0152"/>
    <w:rsid w:val="006A6EF3"/>
    <w:rsid w:val="006C25C3"/>
    <w:rsid w:val="006D5468"/>
    <w:rsid w:val="006D6018"/>
    <w:rsid w:val="006E2AE4"/>
    <w:rsid w:val="006F1338"/>
    <w:rsid w:val="006F2E38"/>
    <w:rsid w:val="006F3543"/>
    <w:rsid w:val="006F4172"/>
    <w:rsid w:val="006F5A27"/>
    <w:rsid w:val="00701A7C"/>
    <w:rsid w:val="00710FBD"/>
    <w:rsid w:val="00714389"/>
    <w:rsid w:val="0072210A"/>
    <w:rsid w:val="007233D3"/>
    <w:rsid w:val="00757B84"/>
    <w:rsid w:val="00765CD0"/>
    <w:rsid w:val="0077045A"/>
    <w:rsid w:val="00792A03"/>
    <w:rsid w:val="00793D8D"/>
    <w:rsid w:val="007A3443"/>
    <w:rsid w:val="007F1956"/>
    <w:rsid w:val="008007E9"/>
    <w:rsid w:val="0080637C"/>
    <w:rsid w:val="00813E99"/>
    <w:rsid w:val="00814AE1"/>
    <w:rsid w:val="00823205"/>
    <w:rsid w:val="00834D3F"/>
    <w:rsid w:val="00885202"/>
    <w:rsid w:val="008913D4"/>
    <w:rsid w:val="008A11AC"/>
    <w:rsid w:val="008A5564"/>
    <w:rsid w:val="008A66D0"/>
    <w:rsid w:val="008B090D"/>
    <w:rsid w:val="008B7F11"/>
    <w:rsid w:val="008C0277"/>
    <w:rsid w:val="008D177E"/>
    <w:rsid w:val="008D2480"/>
    <w:rsid w:val="008D7C6B"/>
    <w:rsid w:val="008D7E40"/>
    <w:rsid w:val="008E5864"/>
    <w:rsid w:val="008F4C0E"/>
    <w:rsid w:val="00904694"/>
    <w:rsid w:val="00904BA1"/>
    <w:rsid w:val="00927406"/>
    <w:rsid w:val="00934A80"/>
    <w:rsid w:val="00955754"/>
    <w:rsid w:val="00956D00"/>
    <w:rsid w:val="0096090C"/>
    <w:rsid w:val="00972F4A"/>
    <w:rsid w:val="00980C64"/>
    <w:rsid w:val="00982759"/>
    <w:rsid w:val="009969DB"/>
    <w:rsid w:val="00997F5C"/>
    <w:rsid w:val="009A5483"/>
    <w:rsid w:val="009B5A52"/>
    <w:rsid w:val="009C6397"/>
    <w:rsid w:val="009D2807"/>
    <w:rsid w:val="009D7266"/>
    <w:rsid w:val="009D7C82"/>
    <w:rsid w:val="009E20AF"/>
    <w:rsid w:val="009E400E"/>
    <w:rsid w:val="009F26BE"/>
    <w:rsid w:val="00A222B5"/>
    <w:rsid w:val="00A2437F"/>
    <w:rsid w:val="00A26727"/>
    <w:rsid w:val="00A32C33"/>
    <w:rsid w:val="00A42871"/>
    <w:rsid w:val="00A569A4"/>
    <w:rsid w:val="00A80367"/>
    <w:rsid w:val="00A907EA"/>
    <w:rsid w:val="00A90BC5"/>
    <w:rsid w:val="00AA23F8"/>
    <w:rsid w:val="00AA6590"/>
    <w:rsid w:val="00AB0730"/>
    <w:rsid w:val="00AB409B"/>
    <w:rsid w:val="00AC087F"/>
    <w:rsid w:val="00AC0A02"/>
    <w:rsid w:val="00AC70E5"/>
    <w:rsid w:val="00AD189B"/>
    <w:rsid w:val="00AD53FB"/>
    <w:rsid w:val="00AE6F8F"/>
    <w:rsid w:val="00B02E42"/>
    <w:rsid w:val="00B164C5"/>
    <w:rsid w:val="00B24F63"/>
    <w:rsid w:val="00B2514E"/>
    <w:rsid w:val="00B33F2F"/>
    <w:rsid w:val="00B61DF9"/>
    <w:rsid w:val="00B63BA1"/>
    <w:rsid w:val="00B871C7"/>
    <w:rsid w:val="00B9340B"/>
    <w:rsid w:val="00BB22B5"/>
    <w:rsid w:val="00BD6B44"/>
    <w:rsid w:val="00BE162F"/>
    <w:rsid w:val="00BE5D2F"/>
    <w:rsid w:val="00BE61B4"/>
    <w:rsid w:val="00BF117C"/>
    <w:rsid w:val="00BF1523"/>
    <w:rsid w:val="00C03389"/>
    <w:rsid w:val="00C14C4A"/>
    <w:rsid w:val="00C322D4"/>
    <w:rsid w:val="00C33126"/>
    <w:rsid w:val="00C334BF"/>
    <w:rsid w:val="00C37D67"/>
    <w:rsid w:val="00C5020D"/>
    <w:rsid w:val="00C53CDD"/>
    <w:rsid w:val="00C573E6"/>
    <w:rsid w:val="00C62FE6"/>
    <w:rsid w:val="00C76630"/>
    <w:rsid w:val="00C902E1"/>
    <w:rsid w:val="00C9271C"/>
    <w:rsid w:val="00CA17C7"/>
    <w:rsid w:val="00CA6DCA"/>
    <w:rsid w:val="00CB2475"/>
    <w:rsid w:val="00CB401B"/>
    <w:rsid w:val="00CC0193"/>
    <w:rsid w:val="00CC1027"/>
    <w:rsid w:val="00CC1846"/>
    <w:rsid w:val="00CC2CAD"/>
    <w:rsid w:val="00CF4278"/>
    <w:rsid w:val="00D00491"/>
    <w:rsid w:val="00D1403A"/>
    <w:rsid w:val="00D14FF9"/>
    <w:rsid w:val="00D425C7"/>
    <w:rsid w:val="00D47ABA"/>
    <w:rsid w:val="00D57925"/>
    <w:rsid w:val="00D64767"/>
    <w:rsid w:val="00D75ECE"/>
    <w:rsid w:val="00D943A2"/>
    <w:rsid w:val="00D94C82"/>
    <w:rsid w:val="00D94D21"/>
    <w:rsid w:val="00DA6289"/>
    <w:rsid w:val="00DA7BA6"/>
    <w:rsid w:val="00DB195C"/>
    <w:rsid w:val="00DB6B4D"/>
    <w:rsid w:val="00DC0138"/>
    <w:rsid w:val="00DC1443"/>
    <w:rsid w:val="00DC1828"/>
    <w:rsid w:val="00DC3943"/>
    <w:rsid w:val="00DC5FFC"/>
    <w:rsid w:val="00DF47F3"/>
    <w:rsid w:val="00E0321C"/>
    <w:rsid w:val="00E253CE"/>
    <w:rsid w:val="00E3786A"/>
    <w:rsid w:val="00E44503"/>
    <w:rsid w:val="00E47E55"/>
    <w:rsid w:val="00E642ED"/>
    <w:rsid w:val="00E74B89"/>
    <w:rsid w:val="00E80B8D"/>
    <w:rsid w:val="00EA6318"/>
    <w:rsid w:val="00EB1F73"/>
    <w:rsid w:val="00EC0A06"/>
    <w:rsid w:val="00EC4D7F"/>
    <w:rsid w:val="00ED3A50"/>
    <w:rsid w:val="00ED7B96"/>
    <w:rsid w:val="00EF4FAF"/>
    <w:rsid w:val="00F01C47"/>
    <w:rsid w:val="00F021DD"/>
    <w:rsid w:val="00F02A3E"/>
    <w:rsid w:val="00F02B0D"/>
    <w:rsid w:val="00F0573E"/>
    <w:rsid w:val="00F14DAF"/>
    <w:rsid w:val="00F15EA9"/>
    <w:rsid w:val="00F37412"/>
    <w:rsid w:val="00F57E4C"/>
    <w:rsid w:val="00F6225A"/>
    <w:rsid w:val="00F661BB"/>
    <w:rsid w:val="00F7675B"/>
    <w:rsid w:val="00F805F6"/>
    <w:rsid w:val="00F80D09"/>
    <w:rsid w:val="00F86D83"/>
    <w:rsid w:val="00F87E64"/>
    <w:rsid w:val="00F94339"/>
    <w:rsid w:val="00FA1EA9"/>
    <w:rsid w:val="00FA6A76"/>
    <w:rsid w:val="00FB2737"/>
    <w:rsid w:val="00FC0689"/>
    <w:rsid w:val="00FD03A0"/>
    <w:rsid w:val="00FD51A6"/>
    <w:rsid w:val="00FF0F74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47C02"/>
  <w14:defaultImageDpi w14:val="32767"/>
  <w15:chartTrackingRefBased/>
  <w15:docId w15:val="{E0EF3B90-2EDF-A047-8DB5-C9527A2A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3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E"/>
  </w:style>
  <w:style w:type="paragraph" w:styleId="Footer">
    <w:name w:val="footer"/>
    <w:basedOn w:val="Normal"/>
    <w:link w:val="FooterChar"/>
    <w:uiPriority w:val="99"/>
    <w:unhideWhenUsed/>
    <w:rsid w:val="004E2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E"/>
  </w:style>
  <w:style w:type="character" w:styleId="CommentReference">
    <w:name w:val="annotation reference"/>
    <w:basedOn w:val="DefaultParagraphFont"/>
    <w:uiPriority w:val="99"/>
    <w:semiHidden/>
    <w:unhideWhenUsed/>
    <w:rsid w:val="004E2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2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1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6B872-C0D4-A348-A0BC-745B27E6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Sellitto</dc:creator>
  <cp:keywords/>
  <dc:description/>
  <cp:lastModifiedBy>Teresa Sellitto</cp:lastModifiedBy>
  <cp:revision>318</cp:revision>
  <dcterms:created xsi:type="dcterms:W3CDTF">2020-11-03T15:09:00Z</dcterms:created>
  <dcterms:modified xsi:type="dcterms:W3CDTF">2022-01-20T22:51:00Z</dcterms:modified>
</cp:coreProperties>
</file>