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86" w:rsidRDefault="00A44286" w:rsidP="00A44286">
      <w:pPr>
        <w:spacing w:before="100" w:beforeAutospacing="1" w:after="100" w:afterAutospacing="1"/>
        <w:jc w:val="center"/>
        <w:rPr>
          <w:rFonts w:ascii="Helvetica" w:hAnsi="Helvetica" w:cs="Helvetica"/>
          <w:sz w:val="27"/>
          <w:szCs w:val="27"/>
        </w:rPr>
      </w:pPr>
    </w:p>
    <w:p w:rsidR="00A44286" w:rsidRDefault="00A44286" w:rsidP="00A44286">
      <w:pPr>
        <w:spacing w:before="100" w:beforeAutospacing="1" w:after="100" w:afterAutospacing="1"/>
        <w:jc w:val="center"/>
        <w:rPr>
          <w:rStyle w:val="Strong"/>
          <w:rFonts w:ascii="Arial" w:eastAsia="Times New Roman" w:hAnsi="Arial" w:cs="Arial"/>
          <w:bCs w:val="0"/>
          <w:sz w:val="22"/>
          <w:szCs w:val="22"/>
        </w:rPr>
      </w:pPr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ACCESSIBILITY OF MINDFULNESS PRACTICES FOR PEOPLE WITH DEVELOPMENTAL DISABILITIES: A CRITICAL INTERPRETIVE SYNTHESIS</w:t>
      </w:r>
    </w:p>
    <w:p w:rsidR="00A44286" w:rsidRDefault="00A44286" w:rsidP="00A44286">
      <w:pPr>
        <w:spacing w:before="100" w:beforeAutospacing="1" w:after="100" w:afterAutospacing="1"/>
        <w:jc w:val="center"/>
        <w:rPr>
          <w:rStyle w:val="Strong"/>
          <w:rFonts w:ascii="Arial" w:eastAsia="Times New Roman" w:hAnsi="Arial" w:cs="Arial"/>
          <w:bCs w:val="0"/>
          <w:sz w:val="22"/>
          <w:szCs w:val="22"/>
        </w:rPr>
      </w:pPr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Kirsten Smith PhD, OT Reg. (Ont.), </w:t>
      </w:r>
      <w:proofErr w:type="spellStart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Azrieli</w:t>
      </w:r>
      <w:proofErr w:type="spellEnd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 Adult </w:t>
      </w:r>
      <w:proofErr w:type="spellStart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Neurodvelopmental</w:t>
      </w:r>
      <w:proofErr w:type="spellEnd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 Centre, CAMH, Sue Hutton, MSW, </w:t>
      </w:r>
      <w:proofErr w:type="spellStart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Azrieli</w:t>
      </w:r>
      <w:proofErr w:type="spellEnd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 Adult </w:t>
      </w:r>
      <w:proofErr w:type="spellStart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Neurodvelopmental</w:t>
      </w:r>
      <w:proofErr w:type="spellEnd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 Centre, CAMH</w:t>
      </w:r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, Jan Wozniak, </w:t>
      </w:r>
      <w:proofErr w:type="spellStart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Azrieli</w:t>
      </w:r>
      <w:proofErr w:type="spellEnd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 Adult </w:t>
      </w:r>
      <w:proofErr w:type="spellStart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Neurodvelopmental</w:t>
      </w:r>
      <w:proofErr w:type="spellEnd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 Centre, CAMH</w:t>
      </w:r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, Toronto Metropolitan University, Dr. Yani Hamdani PhD, OT Reg. (Ont.), University of Toronto, </w:t>
      </w:r>
      <w:proofErr w:type="spellStart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Azrieli</w:t>
      </w:r>
      <w:proofErr w:type="spellEnd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 Adult </w:t>
      </w:r>
      <w:proofErr w:type="spellStart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>Neurodvelopmental</w:t>
      </w:r>
      <w:proofErr w:type="spellEnd"/>
      <w:r>
        <w:rPr>
          <w:rStyle w:val="Strong"/>
          <w:rFonts w:ascii="Arial" w:eastAsia="Times New Roman" w:hAnsi="Arial" w:cs="Arial"/>
          <w:bCs w:val="0"/>
          <w:sz w:val="22"/>
          <w:szCs w:val="22"/>
        </w:rPr>
        <w:t xml:space="preserve"> Centre, CAMH</w:t>
      </w:r>
    </w:p>
    <w:p w:rsidR="003B73BB" w:rsidRPr="003B73BB" w:rsidRDefault="003B73BB" w:rsidP="003B73B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O</w:t>
      </w:r>
      <w:r w:rsidRPr="003B73BB">
        <w:rPr>
          <w:rStyle w:val="Strong"/>
          <w:rFonts w:ascii="Arial" w:hAnsi="Arial" w:cs="Arial"/>
          <w:sz w:val="22"/>
          <w:szCs w:val="22"/>
        </w:rPr>
        <w:t xml:space="preserve">bjectives: </w:t>
      </w:r>
      <w:r w:rsidRPr="003B73BB">
        <w:rPr>
          <w:rFonts w:ascii="Arial" w:hAnsi="Arial" w:cs="Arial"/>
          <w:sz w:val="22"/>
          <w:szCs w:val="22"/>
        </w:rPr>
        <w:t>The objective of this synthesis was to examine the discourses and assumptions about ability and disability embedded in mindfulness-based interventions and explore their impact on the accessibility of mindfulness practices for people with developmental disabilities.</w:t>
      </w:r>
    </w:p>
    <w:p w:rsidR="003B73BB" w:rsidRPr="003B73BB" w:rsidRDefault="003B73BB" w:rsidP="003B73BB">
      <w:p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B73BB">
        <w:rPr>
          <w:rStyle w:val="Strong"/>
          <w:rFonts w:ascii="Arial" w:hAnsi="Arial" w:cs="Arial"/>
          <w:sz w:val="22"/>
          <w:szCs w:val="22"/>
        </w:rPr>
        <w:t xml:space="preserve">Method: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>A five-step CIS process proposed by Dixon-Woods (2006) and colleagues was followed to address the objectives.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The research questions, refined through team discussion, were: 1) </w:t>
      </w:r>
      <w:proofErr w:type="gramStart"/>
      <w:r w:rsidRPr="003B73BB">
        <w:rPr>
          <w:rFonts w:ascii="Arial" w:hAnsi="Arial" w:cs="Arial"/>
          <w:sz w:val="22"/>
          <w:szCs w:val="22"/>
        </w:rPr>
        <w:t>In</w:t>
      </w:r>
      <w:proofErr w:type="gramEnd"/>
      <w:r w:rsidRPr="003B73BB">
        <w:rPr>
          <w:rFonts w:ascii="Arial" w:hAnsi="Arial" w:cs="Arial"/>
          <w:sz w:val="22"/>
          <w:szCs w:val="22"/>
        </w:rPr>
        <w:t xml:space="preserve"> what ways are mindfulness practices informed by </w:t>
      </w:r>
      <w:proofErr w:type="spellStart"/>
      <w:r w:rsidRPr="003B73BB">
        <w:rPr>
          <w:rFonts w:ascii="Arial" w:hAnsi="Arial" w:cs="Arial"/>
          <w:sz w:val="22"/>
          <w:szCs w:val="22"/>
        </w:rPr>
        <w:t>ableist</w:t>
      </w:r>
      <w:proofErr w:type="spellEnd"/>
      <w:r w:rsidRPr="003B73BB">
        <w:rPr>
          <w:rFonts w:ascii="Arial" w:hAnsi="Arial" w:cs="Arial"/>
          <w:sz w:val="22"/>
          <w:szCs w:val="22"/>
        </w:rPr>
        <w:t xml:space="preserve"> ideas?</w:t>
      </w:r>
      <w:r w:rsidRPr="003B73BB">
        <w:rPr>
          <w:rFonts w:ascii="Arial" w:hAnsi="Arial" w:cs="Arial"/>
          <w:sz w:val="22"/>
          <w:szCs w:val="22"/>
        </w:rPr>
        <w:t xml:space="preserve"> And 2)</w:t>
      </w:r>
      <w:r w:rsidRPr="003B73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B73BB">
        <w:rPr>
          <w:rFonts w:ascii="Arial" w:hAnsi="Arial" w:cs="Arial"/>
          <w:sz w:val="22"/>
          <w:szCs w:val="22"/>
        </w:rPr>
        <w:t>How</w:t>
      </w:r>
      <w:proofErr w:type="gramEnd"/>
      <w:r w:rsidRPr="003B73B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3B73BB">
        <w:rPr>
          <w:rFonts w:ascii="Arial" w:hAnsi="Arial" w:cs="Arial"/>
          <w:sz w:val="22"/>
          <w:szCs w:val="22"/>
        </w:rPr>
        <w:t>ableist</w:t>
      </w:r>
      <w:proofErr w:type="spellEnd"/>
      <w:r w:rsidRPr="003B73BB">
        <w:rPr>
          <w:rFonts w:ascii="Arial" w:hAnsi="Arial" w:cs="Arial"/>
          <w:sz w:val="22"/>
          <w:szCs w:val="22"/>
        </w:rPr>
        <w:t xml:space="preserve"> assumptions impact the accessibility of mindfulness practices for people with </w:t>
      </w:r>
      <w:r w:rsidRPr="003B73BB">
        <w:rPr>
          <w:rFonts w:ascii="Arial" w:hAnsi="Arial" w:cs="Arial"/>
          <w:sz w:val="22"/>
          <w:szCs w:val="22"/>
        </w:rPr>
        <w:t>developmental disabilities</w:t>
      </w:r>
      <w:r w:rsidRPr="003B73BB">
        <w:rPr>
          <w:rFonts w:ascii="Arial" w:hAnsi="Arial" w:cs="Arial"/>
          <w:sz w:val="22"/>
          <w:szCs w:val="22"/>
        </w:rPr>
        <w:t>?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 literature search was undertaken to develop a sampling frame. Search terms included </w:t>
      </w:r>
      <w:r w:rsidRPr="003B73BB">
        <w:rPr>
          <w:rFonts w:ascii="Arial" w:hAnsi="Arial" w:cs="Arial"/>
          <w:sz w:val="22"/>
          <w:szCs w:val="22"/>
        </w:rPr>
        <w:t xml:space="preserve">“mindfulness”, “mindfulness-based intervention,” “developmental disability,” “intellectual disability” and the like. </w:t>
      </w:r>
      <w:r>
        <w:rPr>
          <w:rFonts w:ascii="Arial" w:hAnsi="Arial" w:cs="Arial"/>
          <w:sz w:val="22"/>
          <w:szCs w:val="22"/>
        </w:rPr>
        <w:t xml:space="preserve">After searching the sampling frame was comprised of twelve peer-reviewed articles. </w:t>
      </w:r>
      <w:r w:rsidRPr="003B73BB">
        <w:rPr>
          <w:rFonts w:ascii="Arial" w:hAnsi="Arial" w:cs="Arial"/>
          <w:sz w:val="22"/>
          <w:szCs w:val="22"/>
        </w:rPr>
        <w:t xml:space="preserve">Data were key text excerpts that reflected discourses and assumptions about ability and disability from the included literature, which were extracted and recorded verbatim on an excel file. Using a series of critical questions, these data were analyzed to explore embedded assumptions of ability and disability. Key discourses, conventions and patterns across mindfulness practices were examined. </w:t>
      </w:r>
    </w:p>
    <w:p w:rsidR="003B73BB" w:rsidRPr="003B73BB" w:rsidRDefault="003B73BB" w:rsidP="003B73BB">
      <w:p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B73BB">
        <w:rPr>
          <w:rStyle w:val="Strong"/>
          <w:rFonts w:ascii="Arial" w:hAnsi="Arial" w:cs="Arial"/>
          <w:sz w:val="22"/>
          <w:szCs w:val="22"/>
        </w:rPr>
        <w:t xml:space="preserve">Results: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Four key themes were identified in the data. The first, </w:t>
      </w:r>
      <w:r w:rsidRPr="003B73BB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mindfulness to ‘fix,’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>describes the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uptake of mindfulness as an approach to fix or repair perceived deficits in people with developmental disabilities. The second, </w:t>
      </w:r>
      <w:r w:rsidRPr="003B73BB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assumptions about ability,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highlight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>s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normative assumptions about cognition, sensory preferences, and physical capacity that underpinned many mindfulness practices. The third, </w:t>
      </w:r>
      <w:r w:rsidRPr="003B73BB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protocol- vs. person-driven,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>refers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to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the assumption that negative or neutral responses to mindfulness were presumed to be attributed to an individual’s condition rather than the protocol. The fourth and final theme, </w:t>
      </w:r>
      <w:r w:rsidRPr="003B73BB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efforts to adapt, 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depicts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he adaptations made to mindfulness practices to accommodate people with developmental disabilities, 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many of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which are laden with assumptions about ability. </w:t>
      </w:r>
    </w:p>
    <w:p w:rsidR="003B73BB" w:rsidRPr="003B73BB" w:rsidRDefault="003B73BB" w:rsidP="003B73BB">
      <w:p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3B73BB">
        <w:rPr>
          <w:rStyle w:val="Strong"/>
          <w:rFonts w:ascii="Arial" w:hAnsi="Arial" w:cs="Arial"/>
          <w:sz w:val="22"/>
          <w:szCs w:val="22"/>
        </w:rPr>
        <w:t xml:space="preserve">Discussion/Conclusion: </w:t>
      </w:r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critical interpretive synthesis suggested that mindfulness practices may unintentionally reinforce </w:t>
      </w:r>
      <w:proofErr w:type="spellStart"/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>ableist</w:t>
      </w:r>
      <w:proofErr w:type="spellEnd"/>
      <w:r w:rsidRPr="003B73BB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perspectives. Mindfulness in its current form may not be accessible to all people, particularly those with developmental disabilities. This synthesis highlighted the need for neurodiversity-affirming mindfulness practices and programs and revealed the necessity to co-design safe and accessible mindfulness practices and programs with people with developmental disabilities. </w:t>
      </w:r>
    </w:p>
    <w:p w:rsidR="006C20FB" w:rsidRDefault="006C20FB">
      <w:bookmarkStart w:id="0" w:name="_GoBack"/>
      <w:bookmarkEnd w:id="0"/>
    </w:p>
    <w:sectPr w:rsidR="006C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34B"/>
    <w:multiLevelType w:val="multilevel"/>
    <w:tmpl w:val="255E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B8"/>
    <w:rsid w:val="003B73BB"/>
    <w:rsid w:val="00620624"/>
    <w:rsid w:val="006C20FB"/>
    <w:rsid w:val="00A44286"/>
    <w:rsid w:val="00E82FED"/>
    <w:rsid w:val="00E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9B99"/>
  <w15:chartTrackingRefBased/>
  <w15:docId w15:val="{F6DA0977-4238-49EA-A684-5875ECA0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1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Smith</dc:creator>
  <cp:keywords/>
  <dc:description/>
  <cp:lastModifiedBy>Kirsten Smith</cp:lastModifiedBy>
  <cp:revision>1</cp:revision>
  <dcterms:created xsi:type="dcterms:W3CDTF">2024-01-26T17:55:00Z</dcterms:created>
  <dcterms:modified xsi:type="dcterms:W3CDTF">2024-01-26T20:59:00Z</dcterms:modified>
</cp:coreProperties>
</file>